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0"/>
      </w:pPr>
      <w:r>
        <w:rPr>
          <w:b/>
          <w:color w:val="089792"/>
          <w:sz w:val="20"/>
        </w:rPr>
        <w:t>WORKNOVA / SZERZŐDÉSES DOKUMENTÁCIÓ</w:t>
      </w:r>
    </w:p>
    <w:p>
      <w:pPr>
        <w:spacing w:before="500" w:after="260"/>
      </w:pPr>
      <w:r>
        <w:rPr>
          <w:rFonts w:ascii="Noto Sans" w:hAnsi="Noto Sans"/>
          <w:b/>
          <w:color w:val="132132"/>
          <w:sz w:val="56"/>
        </w:rPr>
        <w:t>WORKNOVA.HU</w:t>
      </w:r>
    </w:p>
    <w:p>
      <w:r>
        <w:rPr>
          <w:b/>
          <w:color w:val="089792"/>
          <w:sz w:val="28"/>
        </w:rPr>
        <w:t>ÁLTALÁNOS SZERZŐDÉSI FELTÉTELEK</w:t>
      </w:r>
    </w:p>
    <w:p>
      <w:r>
        <w:t>Központi szolgáltatási ÁSZF</w:t>
      </w:r>
    </w:p>
    <w:p>
      <w:pPr>
        <w:spacing w:before="360" w:after="300"/>
      </w:pPr>
      <w:r>
        <w:rPr>
          <w:b/>
        </w:rPr>
        <w:t xml:space="preserve">HATÓKÖR  </w:t>
      </w:r>
      <w:r>
        <w:t>Fejlesztés, marketing, AI, tárhely, üzemeltetés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99"/>
        <w:gridCol w:w="6123"/>
      </w:tblGrid>
      <w:tr>
        <w:tc>
          <w:tcPr>
            <w:tcW w:type="dxa" w:w="4816"/>
            <w:vAlign w:val="center"/>
            <w:shd w:fill="F1F6F7"/>
          </w:tcPr>
          <w:p>
            <w:pPr>
              <w:spacing w:after="100" w:before="100"/>
            </w:pPr>
            <w:r>
              <w:rPr>
                <w:b/>
                <w:color w:val="576879"/>
                <w:sz w:val="17"/>
              </w:rPr>
              <w:t>Szolgáltató</w:t>
            </w:r>
          </w:p>
        </w:tc>
        <w:tc>
          <w:tcPr>
            <w:tcW w:type="dxa" w:w="4816"/>
            <w:vAlign w:val="center"/>
            <w:shd w:fill="F1F6F7"/>
          </w:tcPr>
          <w:p>
            <w:pPr>
              <w:spacing w:after="100" w:before="100"/>
            </w:pPr>
            <w:r>
              <w:rPr>
                <w:b w:val="0"/>
                <w:color w:val="132132"/>
                <w:sz w:val="17"/>
              </w:rPr>
              <w:t>Gáspár Olivér egyéni vállalkozó (Worknova)</w:t>
            </w:r>
          </w:p>
        </w:tc>
      </w:tr>
      <w:tr>
        <w:tc>
          <w:tcPr>
            <w:tcW w:type="dxa" w:w="4816"/>
            <w:vAlign w:val="center"/>
          </w:tcPr>
          <w:p>
            <w:pPr>
              <w:spacing w:after="100" w:before="100"/>
            </w:pPr>
            <w:r>
              <w:rPr>
                <w:b/>
                <w:color w:val="576879"/>
                <w:sz w:val="17"/>
              </w:rPr>
              <w:t>Verzió</w:t>
            </w:r>
          </w:p>
        </w:tc>
        <w:tc>
          <w:tcPr>
            <w:tcW w:type="dxa" w:w="4816"/>
            <w:vAlign w:val="center"/>
          </w:tcPr>
          <w:p>
            <w:pPr>
              <w:spacing w:after="100" w:before="100"/>
            </w:pPr>
            <w:r>
              <w:rPr>
                <w:b w:val="0"/>
                <w:color w:val="132132"/>
                <w:sz w:val="17"/>
              </w:rPr>
              <w:t>3.0-T  ·  2026. október 23.</w:t>
            </w:r>
          </w:p>
        </w:tc>
      </w:tr>
      <w:tr>
        <w:tc>
          <w:tcPr>
            <w:tcW w:type="dxa" w:w="4816"/>
            <w:vAlign w:val="center"/>
            <w:shd w:fill="F1F6F7"/>
          </w:tcPr>
          <w:p>
            <w:pPr>
              <w:spacing w:after="100" w:before="100"/>
            </w:pPr>
            <w:r>
              <w:rPr>
                <w:b/>
                <w:color w:val="576879"/>
                <w:sz w:val="17"/>
              </w:rPr>
              <w:t>Státusz</w:t>
            </w:r>
          </w:p>
        </w:tc>
        <w:tc>
          <w:tcPr>
            <w:tcW w:type="dxa" w:w="4816"/>
            <w:vAlign w:val="center"/>
            <w:shd w:fill="F1F6F7"/>
          </w:tcPr>
          <w:p>
            <w:pPr>
              <w:spacing w:after="100" w:before="100"/>
            </w:pPr>
            <w:r>
              <w:rPr>
                <w:b w:val="0"/>
                <w:color w:val="132132"/>
                <w:sz w:val="17"/>
              </w:rPr>
              <w:t>Jogi és üzleti véglegesítést igénylő tervezet</w:t>
            </w:r>
          </w:p>
        </w:tc>
      </w:tr>
    </w:tbl>
    <w:p>
      <w:pPr>
        <w:spacing w:before="500"/>
      </w:pPr>
      <w:r>
        <w:rPr>
          <w:b/>
          <w:color w:val="96432C"/>
          <w:sz w:val="20"/>
        </w:rPr>
        <w:t>FONTOS – KÖZZÉTÉTEL ELŐTT</w:t>
      </w:r>
    </w:p>
    <w:p>
      <w:pPr>
        <w:spacing w:after="0"/>
      </w:pPr>
      <w:r>
        <w:t>A szolgáltató képen megadott vállalkozói azonosító adatai beillesztve. A tényleges díjak, a fizetési/lemondási folyamat, az adatkezelés, a nyilvántartó hatóság adata (ahol szerepel), az elérhetőségek és a műszaki vállalások ellenőrzése még szükséges. A dokumentum jogi ellenőrzésig és a fennmaradó hiányok pótlásáig nem tekinthető végleges, publikálható ÁSZF-nek.</w:t>
      </w:r>
    </w:p>
    <w:p>
      <w:r/>
    </w:p>
    <w:p>
      <w:pPr>
        <w:widowControl/>
      </w:pPr>
      <w:r>
        <w:rPr>
          <w:b/>
          <w:color w:val="132132"/>
        </w:rPr>
        <w:t>3.1 | JOGI ÉS ÜZLETI VÉGLEGESÍTÉST IGÉNYLŐ TERVEZET | 2026. október 23.</w:t>
      </w:r>
    </w:p>
    <w:p>
      <w:pPr>
        <w:widowControl/>
      </w:pPr>
      <w:r>
        <w:t>Az ÁSZF csak a konkrét üzleti paraméterekkel ellátott és elfogadott ajánlattal együtt alkalmazható. A Wasily, a Marketinggépezet és az Ingatlanos Munkafelület külön termék-ÁSZF-je elsőbbséget élvez a saját termékére vonatkozó kérdésekben; egy szolgáltatást csak a ténylegesen közölt és elfogadott feltételek mellett lehet megrendelni.</w:t>
      </w:r>
    </w:p>
    <w:p>
      <w:pPr>
        <w:pStyle w:val="Heading1"/>
      </w:pPr>
      <w:r>
        <w:t>1. Szolgáltató, tárgyi és személyi hatály</w:t>
      </w:r>
    </w:p>
    <w:p>
      <w:pPr>
        <w:widowControl/>
      </w:pPr>
      <w:r>
        <w:t xml:space="preserve">Szolgáltató: Gáspár Olivér egyéni vállalkozó (Worknova); székhely: </w:t>
      </w:r>
      <w:r>
        <w:rPr>
          <w:b/>
          <w:color w:val="132132"/>
        </w:rPr>
        <w:t>1108 Budapest, Tavas utca 6., 1. emelet 6. ajtó</w:t>
      </w:r>
      <w:r>
        <w:t xml:space="preserve">; adószám: </w:t>
      </w:r>
      <w:r>
        <w:rPr>
          <w:b/>
          <w:color w:val="132132"/>
        </w:rPr>
        <w:t>59167488-1-42</w:t>
      </w:r>
      <w:r>
        <w:t xml:space="preserve">; EV-nyilvántartási szám: </w:t>
      </w:r>
      <w:r>
        <w:rPr>
          <w:b/>
          <w:color w:val="132132"/>
        </w:rPr>
        <w:t>57249641</w:t>
      </w:r>
      <w:r>
        <w:t xml:space="preserve">; közösségi adószám: HU59167488; nyilvántartó hatóság: </w:t>
      </w:r>
      <w:r>
        <w:rPr>
          <w:b/>
          <w:color w:val="132132"/>
        </w:rPr>
        <w:t>[[KITÖLTENDŐ]]</w:t>
      </w:r>
      <w:r>
        <w:t xml:space="preserve">; e-mail: </w:t>
      </w:r>
      <w:r>
        <w:rPr>
          <w:b/>
          <w:color w:val="132132"/>
        </w:rPr>
        <w:t>info@worknova.hu</w:t>
      </w:r>
      <w:r>
        <w:t xml:space="preserve">; telefon: </w:t>
      </w:r>
      <w:r>
        <w:rPr>
          <w:b/>
          <w:color w:val="132132"/>
        </w:rPr>
        <w:t>+36 70 653 2920</w:t>
      </w:r>
      <w:r>
        <w:t xml:space="preserve">; honlap: </w:t>
      </w:r>
      <w:r>
        <w:rPr>
          <w:b/>
          <w:color w:val="132132"/>
        </w:rPr>
        <w:t>https://worknova.hu</w:t>
      </w:r>
      <w:r>
        <w:t>. Jelen feltételek egyedi web-, webshop-, landing-, szoftver- és arculatfejlesztés, marketing, SEO, social média, AI-automatizálás, valamint tárhely-/üzemeltetési szolgáltatás megrendelésére alkalmazandók, ha a megrendelő előzetesen megismerte és elfogadta őket. Fogyasztó esetén a kötelező jogszabályi védelem elsőbbséget élvez. A külön termékfeltételek a Wasily mesterségesintelligencia-asszisztensre, a Marketinggépezet marketing-automatizáló felületre és a Worknova Ingatlanos Munkafelületre vonatkoznak; más termék csak külön nevesített ajánlat szerint szolgáltatható. A jelen általános ÁSZF minden külön kezelt termékre háttérszabály, de nem helyettesíti a termékek ár- és műszaki adatlapját.</w:t>
      </w:r>
    </w:p>
    <w:p>
      <w:pPr>
        <w:pStyle w:val="Heading1"/>
      </w:pPr>
      <w:r>
        <w:t>2. Definíciók és iratsorrend</w:t>
      </w:r>
    </w:p>
    <w:p>
      <w:pPr>
        <w:widowControl/>
      </w:pPr>
      <w:r>
        <w:t>Megrendelő: aki szerződést köt; Felhasználó: a szolgáltatáshoz hozzáférő személy; Ajánlat/Megrendelőlap: egyedi, azonosíthatóan elfogadott kereskedelmi feltételek; Eredmény: átadandó tervezés, kreatív, forráskód vagy szolgáltatás; Ügyféladat: a Megrendelő által betöltött adat; Harmadik fél: nem Worknova-üzemeltetésű külső platform. Ellentmondás esetén kötelező jog → egyedileg tárgyalt aláírt szerződés → elfogadott ajánlat/specifikáció → termékfeltételek → releváns szakmai melléklet (adatfeldolgozásban DPA elsőbbséggel) → központi ÁSZF. A felhasználási jogot és adatkezelői minőséget ez a sorrend nem írhatja felül kógens szabállyal ellentétesen.</w:t>
      </w:r>
    </w:p>
    <w:p>
      <w:pPr>
        <w:pStyle w:val="Heading1"/>
      </w:pPr>
      <w:r>
        <w:t>3. Ajánlat, szerződéskötés, bizonyítás</w:t>
      </w:r>
    </w:p>
    <w:p>
      <w:pPr>
        <w:widowControl/>
      </w:pPr>
      <w:r>
        <w:t>A honlap általános szolgáltatásismertetése főszabály szerint ajánlattételre felhívás. Az ajánlatkérő űrlap beküldése önmagában nem keletkeztet fizetési kötelezettséget, amíg külön, világos megrendelést és elfogadást nem tartalmaz. A kötelező ajánlatadatok: pontos szolgáltatás, mérföldkövek, szállítandó eredmények, nettó/bruttó összeg és adózási minőség, előleg, határidő, minőségi kritérium, esetleges külső költségek, alvállalkozók, support és díjfizetési mód. A szerződés az ajánlat bizonyítható elfogadásával vagy külön aláírással jön létre. Online szerződéskötésnél a felület az adatbeviteli hibák javítását, a kötelező tájékoztatás megtekintését, az ÁSZF tárolását és a megrendelés visszaigazolását lehetővé teszi. A Worknova eltárolja az elfogadott ÁSZF-verzió azonosítóját, az ajánlatot és az elfogadás időpontját, a szükséges jogalappal és megőrzési idővel.</w:t>
      </w:r>
    </w:p>
    <w:p>
      <w:pPr>
        <w:pStyle w:val="Heading1"/>
      </w:pPr>
      <w:r>
        <w:t>4. Megrendelői együttműködés és munkakezdés</w:t>
      </w:r>
    </w:p>
    <w:p>
      <w:pPr>
        <w:widowControl/>
      </w:pPr>
      <w:r>
        <w:t>A Megrendelő a jogszerűen használható anyagokat, tartalmakat, belépési jogosultságokat és döntésekre jogosult kapcsolattartót biztosítja. A határidő a szerződésben meghatározott indulási feltételek teljesülésétől számít; a Worknova a hiányzó előfeltételt és annak következményét írásban jelzi. A Worknova csak az igazolt, okszerű késedelem időtartamával módosíthatja a teljesítési ütemet, nem használhatja az ügyfél késését korlátlan határidő-hosszabbításra. Belépési adatot nem kérünk nyílt e-mailben, ha biztonságos jogosultságadás vagy átadás megoldható.</w:t>
      </w:r>
    </w:p>
    <w:p>
      <w:pPr>
        <w:pStyle w:val="Heading1"/>
      </w:pPr>
      <w:r>
        <w:t>5. Specifikáció, változáskezelés, elfogadás</w:t>
      </w:r>
    </w:p>
    <w:p>
      <w:pPr>
        <w:widowControl/>
      </w:pPr>
      <w:r>
        <w:t>A vállalt szolgáltatási kör az elfogadott specifikációból áll. Új funkció, új platform vagy kampánytípus nem tekinthető automatikusan benne foglaltnak. Változtatási igény: írásos leírás → becsült többletdíj és határidő → megrendelői elfogadás → végrehajtás. Az átadásnál a Worknova tesztelhető eredményt, hozzáférést és – ahol szükséges – rövid üzemeltetési útmutatót biztosít. A hibajegyeknél elkülönül a specifikációtól eltérő hiba és az utólag megrendelt bővítés. Hallgatás pusztán fogyasztóval szemben nem tekinthető a kógens szavatossági jogok lemondásának.</w:t>
      </w:r>
    </w:p>
    <w:p>
      <w:pPr>
        <w:pStyle w:val="Heading1"/>
      </w:pPr>
      <w:r>
        <w:t>6. Díjak, számlázás, külső költségek</w:t>
      </w:r>
    </w:p>
    <w:p>
      <w:pPr>
        <w:widowControl/>
      </w:pPr>
      <w:r>
        <w:t xml:space="preserve">Az ár, adózási minőség, számlázási ciklus, esedékesség, előleg, részletek és banki költségek az ajánlatban szerepelnek. A Worknova munkadíja </w:t>
      </w:r>
      <w:r>
        <w:rPr>
          <w:b/>
          <w:color w:val="132132"/>
        </w:rPr>
        <w:t>nem</w:t>
      </w:r>
      <w:r>
        <w:t xml:space="preserve"> tartalmazza automatikusan a Meta/Google kampánykeretet, domain-, hosting-, tranzakciós-, AI API-, SMS-, e-mailküldési és licencköltséget. Ezeket a Megrendelő lehetőleg közvetlenül a külső szolgáltatónak fizeti; Worknova általi továbbszámlázás csak előzetesen elfogadott elszámolási móddal történhet. A fizetendő összegnek a megrendelés előtt egyértelműnek kell lennie. Nem vállalt, utólag feltárt „rejtett” díj nem válik esedékessé pusztán az ÁSZF-re hivatkozva. Késedelmes fizetés esetén a jogszabály szerinti késedelmi kamat és jogszerű behajtási költségek alkalmazhatók, ha feltételeik fennállnak; automatikus bírság vagy önkényes kötbér nem.</w:t>
      </w:r>
    </w:p>
    <w:p>
      <w:pPr>
        <w:pStyle w:val="Heading1"/>
      </w:pPr>
      <w:r>
        <w:t>7. Egyszeri munka, ismétlődő szolgáltatás, megújulás</w:t>
      </w:r>
    </w:p>
    <w:p>
      <w:pPr>
        <w:widowControl/>
      </w:pPr>
      <w:r>
        <w:t xml:space="preserve">Az egyszeri fejlesztés a vállalt eredmény átadásával és elszámolásával zárul. Folyamatos szolgáltatásnál az ajánlat kötelezően megjelöli: határozott/határozatlan tartam, minimális idő, ciklushossz, megújulás mechanizmusa, díjmódosítás, lemondási csatorna, felmondási határidő és az utolsó számlázási időszak. </w:t>
      </w:r>
      <w:r>
        <w:rPr>
          <w:b/>
          <w:color w:val="132132"/>
        </w:rPr>
        <w:t>Ha az elfogadott ajánlatból az automatikus megújulás egyértelműen nem állapítható meg, az ÁSZF önmagában nem hoz létre automatikus hosszabbítást.</w:t>
      </w:r>
      <w:r>
        <w:t xml:space="preserve"> A marketingoldalon esetleg hirdetett „3 hónap” csak azokra az egyedi szolgáltatásokra kötelező, ahol azt a konkrét szerződés egyértelműen rögzíti.</w:t>
      </w:r>
    </w:p>
    <w:p>
      <w:pPr>
        <w:pStyle w:val="Heading1"/>
      </w:pPr>
      <w:r>
        <w:t>8. Lemondás, rendes felmondás, rendkívüli felmondás</w:t>
      </w:r>
    </w:p>
    <w:p>
      <w:pPr>
        <w:widowControl/>
      </w:pPr>
      <w:r>
        <w:t>A megújulás kikapcsolása és a rendes felmondás külön jognyilatkozat lehet. A Megrendelő írásban, a szerződésben megnevezett e-mailen (info@worknova.hu) vagy a ténylegesen működő ügyfélportálon mondhat fel. A Worknova azonosíthatóságot kérhet, de nem írhat elő indokolatlan formalitást. A Worknova a nyilatkozat átvételét és joghatását visszaigazolja, megjelölve a hozzáférés végét, az utolsó díjat és az adatkiadás elérhetőségét. Nem kötjük a felmondást telefonhíváshoz vagy személyes ügyintézéshez, ha írásban érvényesen közölhető. Lényeges szerződésszegés esetén – ahol a jogsértés orvosolható – a fél megfelelő póthatáridőt kap; adatbiztonsági fenyegetés vagy jogellenes működés veszélyénél arányos azonnali korlátozás lehetséges. A korlátozásról az indokolást és a helyreállítási lehetőséget közöljük, amennyiben az a biztonsággal összeegyeztethető. Nem szűnnek meg automatikusan az ügyfél jogszerű adatvisszakérési jogai.</w:t>
      </w:r>
    </w:p>
    <w:p>
      <w:pPr>
        <w:pStyle w:val="Heading1"/>
      </w:pPr>
      <w:r>
        <w:t>9. Díjvisszatérítés, elszámolás, munkamegszakítás</w:t>
      </w:r>
    </w:p>
    <w:p>
      <w:pPr>
        <w:widowControl/>
      </w:pPr>
      <w:r>
        <w:t>Egyszeri munka megszűnésekor a ténylegesen igazolt teljesítés és az alkalmazandó szerződési/jogszabályi szabályok alapján számolunk el. Ismétlődő szolgáltatásnál a már megkezdett ciklus sorsát és az esetleges időarányos elszámolást az elfogadott ajánlat rögzíti; a kötelező fogyasztói elállási/szavatossági jogokat ez nem írja felül. Előre fizetett külső költség esetén dokumentáljuk, milyen mértékben visszatéríthető a harmadik fél szabályai szerint. Egyedi kedvezmény és idő előtti megszűnés díjkövetkezménye csak előre ismert, arányos, jogszerű feltétellel alkalmazható.</w:t>
      </w:r>
    </w:p>
    <w:p>
      <w:pPr>
        <w:pStyle w:val="Heading1"/>
      </w:pPr>
      <w:r>
        <w:t>10. Szerzői jog, forráskód, licencek, domain</w:t>
      </w:r>
    </w:p>
    <w:p>
      <w:pPr>
        <w:widowControl/>
      </w:pPr>
      <w:r>
        <w:t xml:space="preserve">Megrendelő előzetes anyagai nála maradnak. A Worknova korábbi komponensei, generikus kódkönyvtárai, sablonjai és know-how-ja – az érvényes harmadik fél licencektől függően – a jogosultnál maradnak. Az egyedileg készített eredmény felhasználási joga, területe, időtartama, átdolgozhatósága, továbbengedélyezése és forráskódátadása az ajánlatban szerepel; a díjfizetés önmagában </w:t>
      </w:r>
      <w:r>
        <w:rPr>
          <w:b/>
          <w:color w:val="132132"/>
        </w:rPr>
        <w:t>nem jelenti automatikusan minden szerzői jog korlátlan átruházását</w:t>
      </w:r>
      <w:r>
        <w:t>. A domain, hirdetési és analitikai fiók lehetőleg ügyfél tulajdonában/nevén marad, a Worknova kizárólag delegált hozzáférést kap. A megszűnéskor hozzáférést visszaadunk, saját delegált jogunkat visszavonjuk. Harmadik féltől származó betűtípus, stockanyag, plugin és open-source komponens licence az adott felhasználásra alkalmazandó.</w:t>
      </w:r>
    </w:p>
    <w:p>
      <w:pPr>
        <w:pStyle w:val="Heading1"/>
      </w:pPr>
      <w:r>
        <w:t>11. Adatkezelési szerepek és titoktartás</w:t>
      </w:r>
    </w:p>
    <w:p>
      <w:pPr>
        <w:widowControl/>
      </w:pPr>
      <w:r>
        <w:t>A Worknova saját számlázásában, ügyfélkezelésében adatkezelő; ügyfél által meghatározott célra végzett lead-, CRM-, chatbot- és hostingműveleteknél adatfeldolgozó lehet. Utóbbi megkezdése előtt a 07-es DPA és az adatfeldolgozási adatlap kitöltése szükséges. Egyik fél sem adhat indokolatlan hozzáférést harmadik személynek; bizalmas anyagok csak szükséges mértékben használhatók. Az ügyfél adatai nem használhatók saját modell-tanításhoz vagy más ügyfél marketingjéhez külön, érvényes jogalap/utasítás hiányában.</w:t>
      </w:r>
    </w:p>
    <w:p>
      <w:pPr>
        <w:pStyle w:val="Heading1"/>
      </w:pPr>
      <w:r>
        <w:t>12. Üzemeltetés, támogatás és harmadik fél</w:t>
      </w:r>
    </w:p>
    <w:p>
      <w:pPr>
        <w:widowControl/>
      </w:pPr>
      <w:r>
        <w:t xml:space="preserve">Felhő, tárhely, domain és API-integráció esetén a 10-es megállapodás és 11-es SLA jelöli ki a tényleges rendelkezésre állást, reakcióidőt, RPO/RTO-t, mentést és mérési módot. </w:t>
      </w:r>
      <w:r>
        <w:rPr>
          <w:b/>
          <w:color w:val="132132"/>
        </w:rPr>
        <w:t>Kitöltetlen SLA-nincs megígért 99,9% vagy 24/7 támogatás.</w:t>
      </w:r>
      <w:r>
        <w:t xml:space="preserve"> A harmadik fél szolgáltatásának igazolt változása vagy megszűnése miatt a Worknova ésszerű, dokumentált tájékoztatást nyújt és megvizsgálja az alternatívát; vállalásától és saját hibájától nem mentesül pusztán azzal, hogy alvállalkozót vett igénybe.</w:t>
      </w:r>
    </w:p>
    <w:p>
      <w:pPr>
        <w:pStyle w:val="Heading1"/>
      </w:pPr>
      <w:r>
        <w:t>13. AI- és automatizálási szolgáltatás</w:t>
      </w:r>
    </w:p>
    <w:p>
      <w:pPr>
        <w:widowControl/>
      </w:pPr>
      <w:r>
        <w:t>A 13-as AI-melléklet kötelező, ha AI-rendszer vagy automatikus ügyfélkommunikáció a megrendelés része. AI-kimenetet a megrendelő emberi felülvizsgálata nélkül nem szabad önálló jogi, pénzügyi, egészségügyi vagy más jelentős döntés egyetlen alapjaként használni. A tényleges külső modell- és adatáramlási feltételeket a projekt adatlapjában jelezzük. Meghatározott ügyfélszámot, bevételt, keresőhelyezést vagy hibamentes generált tartalmat az általános szolgáltatásleírás nem garantál.</w:t>
      </w:r>
    </w:p>
    <w:p>
      <w:pPr>
        <w:pStyle w:val="Heading1"/>
      </w:pPr>
      <w:r>
        <w:t>14. Adatkiadás, szolgáltatóváltás, megszűnés utáni adatok</w:t>
      </w:r>
    </w:p>
    <w:p>
      <w:pPr>
        <w:widowControl/>
      </w:pPr>
      <w:r>
        <w:t>Az ügyfél saját feltöltött/kezelt adataihoz való hozzáférését, exportját, a törlés és mentések ciklusát az adott szolgáltatás adatlapja rögzíti. Ha a szolgáltatás az EU Data Act adatfeldolgozási szolgáltatásokra vonatkozó szabályai alá tartozik, a szerződésben külön biztosítani kell többek között az előírt váltási folyamatot, a legfeljebb két hónapos váltásindítási értesítési határidőt, főszabály szerint legfeljebb 30 napos átmenetet és legalább 30 napos adatvisszanyerési időszakot, a törvényi kivételekkel és részletes feltételekkel. Ez nem általánosan minden honlapfejlesztési projektre vonatkozó automatikus 30 napos archiválási ígéret.</w:t>
      </w:r>
    </w:p>
    <w:p>
      <w:pPr>
        <w:pStyle w:val="Heading1"/>
      </w:pPr>
      <w:r>
        <w:t>15. Felelősség és jogszerű korlátok</w:t>
      </w:r>
    </w:p>
    <w:p>
      <w:pPr>
        <w:widowControl/>
      </w:pPr>
      <w:r>
        <w:t xml:space="preserve">A Worknova a szolgáltatást szakmai gondossággal, a dokumentált specifikáció szerint nyújtja. Jogszerűen előre látható károkért és bizonyított szerződésszegésért a hatályos jog szerinti felelősség fennáll. </w:t>
      </w:r>
      <w:r>
        <w:rPr>
          <w:b/>
          <w:color w:val="132132"/>
        </w:rPr>
        <w:t>Nem zárható ki vagy korlátozható jogellenesen a szándékos károkozásért, emberi életet/testi épséget/egészséget károsító szerződésszegésért való felelősség, illetve a kógens fogyasztói/szavatossági igény.</w:t>
      </w:r>
      <w:r>
        <w:t xml:space="preserve"> B2B felelősségmaximum csak külön világosan elfogadott, jogilag felülvizsgált összeggel és kivételekkel alkalmazható; e tervezet nem talál ki „mindenre nulla felelősség” kikötést. Hirdetési eredmény, platformalgoritmus és AI-kimenet üzleti kockázata nem jelent minden szerződéses minőségi követelmény alóli mentességet.</w:t>
      </w:r>
    </w:p>
    <w:p>
      <w:pPr>
        <w:pStyle w:val="Heading1"/>
      </w:pPr>
      <w:r>
        <w:t>16. Fogyasztói szerződések és panasz</w:t>
      </w:r>
    </w:p>
    <w:p>
      <w:pPr>
        <w:widowControl/>
      </w:pPr>
      <w:r>
        <w:t>Fogyasztó esetén a megrendelés előtt megfelelő tájékoztatást kell adni az árról, lényeges jellemzőkről, szerződésről, szavatosságról, elállási/felmondási jogról és a korlátozásokról. A 05-ös melléklet csak a tényleges jogi minősítés után aktiválható. Az érintett online távollévők közötti szerződésnél a 45/2014. rendelet szerinti elállási funkció és visszaigazolás biztosítandó. A fogyasztói panaszokra a jogszabályi válaszadási és vitarendezési szabályok, valamint a helyes illetékes hatóság/békéltető testület adatai vonatkoznak. Panaszcím: info@worknova.hu; a jogszabály szerint kötelező további elérhetőségeket és fogyasztói vitarendezési adatokat a véglegesített impresszumban kell közölni.</w:t>
      </w:r>
    </w:p>
    <w:p>
      <w:pPr>
        <w:pStyle w:val="Heading1"/>
      </w:pPr>
      <w:r>
        <w:t>17. Szerződésmódosítás és tájékoztatás</w:t>
      </w:r>
    </w:p>
    <w:p>
      <w:pPr>
        <w:widowControl/>
      </w:pPr>
      <w:r>
        <w:t>Új ügyfelekre a közzétett új ÁSZF-verzió alkalmazható. Fennálló jogviszony lényeges egyoldalú módosításához érvényes jogalap és megfelelő, előzetes tájékoztatás, valamint szükség szerint rendes felmondási lehetőség szükséges; a weboldali szöveg csendes lecserélése nem keletkeztet automatikusan új szerződést. Egyedileg kialkudott feltétel elsőbbsége megmarad. Az ügyfélnek az elfogadott változat megőrizhető formátumban rendelkezésére áll.</w:t>
      </w:r>
    </w:p>
    <w:p>
      <w:pPr>
        <w:pStyle w:val="Heading1"/>
      </w:pPr>
      <w:r>
        <w:t>18. Záró rendelkezések</w:t>
      </w:r>
    </w:p>
    <w:p>
      <w:pPr>
        <w:widowControl/>
      </w:pPr>
      <w:r>
        <w:t xml:space="preserve">A magyar jog az irányadó a kollíziós és kógens fogyasztóvédelmi szabályok sérelme nélkül. Vita esetén a felek először dokumentált egyeztetést kísérelnek meg; kötelező illetékességi szabály nem zárható ki fogyasztó sérelmére. A szerződés bármely részének érvénytelensége nem teszi szükségszerűen érvénytelenné a fennmaradó, önállóan alkalmazható feltételeket. Hatályba lépés: </w:t>
      </w:r>
      <w:r>
        <w:rPr>
          <w:b/>
          <w:color w:val="132132"/>
        </w:rPr>
        <w:t>[[KITÖLTENDŐ – csak a tényleges közzétételkor]]</w:t>
      </w:r>
      <w:r>
        <w:t>; dokumentumverzió: 3.0-tervezet. Korábbi szerződések módosítására nem alkalmazható visszamenőleg.</w:t>
      </w:r>
    </w:p>
    <w:p>
      <w:pPr>
        <w:pStyle w:val="Heading1"/>
      </w:pPr>
      <w:r>
        <w:t>19. A szolgáltatások megkülönböztetése és ajánlati tartalmuk</w:t>
      </w:r>
    </w:p>
    <w:p>
      <w:pPr>
        <w:widowControl/>
      </w:pPr>
      <w:r>
        <w:t>19.1. A worknova.hu a következő szolgáltatási kategóriákat ismertetheti: weboldal, webshop, landing page, egyedi szoftver, arculat és kreatív gyártás, SEO, közösségimédia-menedzsment, Meta- és Google-hirdetéskezelés, e-mail marketing, AI-chatbotok és üzleti automatizálás, valamint tárhely-, felhő- és rendszerüzemeltetés. A pontosan megrendelhető tételeket az aktuális szolgáltatáslista és az elfogadott ajánlat határozza meg; a felsorolás nem ígér automatikusan minden szolgáltatásból aktív vagy korlátlan kapacitást.</w:t>
      </w:r>
    </w:p>
    <w:p>
      <w:pPr>
        <w:widowControl/>
      </w:pPr>
      <w:r>
        <w:t>19.2. Az oldalon közölt „-tól” árak belépő tájékoztató összegek, ha ezt a megjelenítésük egyértelművé teszi. A nyilvános csomagleírásban feltüntetett konkrét ár, funkció és kedvezmény nem válhat megtévesztővé a későbbi egyedi ajánlatban: a változás okát és a tényleges ellenértéket világosan közölni kell. Egyedi projektnél a fizetés végső feltétele a dokumentált ajánlat és annak elfogadása.</w:t>
      </w:r>
    </w:p>
    <w:p>
      <w:pPr>
        <w:widowControl/>
      </w:pPr>
      <w:r>
        <w:t>19.3. A honlap rendelési kosara – ha csak ajánlatkérő űrlaphoz vezet – nem feltétlenül minősül végleges megrendelésnek. Ha a felület később közvetlenül fizetős szerződést köt, a fizetési kötelezettség világos, közvetlenül a megrendelés előtti tájékoztatása, kifejezett jóváhagyás, automatikus visszaigazolás és az elektronikus szerződés megőrizhetősége kötelező.</w:t>
      </w:r>
    </w:p>
    <w:p>
      <w:pPr>
        <w:widowControl/>
      </w:pPr>
      <w:r>
        <w:t>19.4. A nyilvános „48 órán belüli ajánlat” típusú vállalást a ténylegesen kommunikált hirdetési feltételekkel összhangban kell teljesíteni. Egy kapcsolati válasz és egy végleges, kötelező árú, tételes ajánlat eltérő teljesítés; eltérő értelmezés csak egyértelmű honlapi pontosítással alkalmazható. A jelen ÁSZF nem szünteti meg a honlapon tett egyértelmű, jogilag értékelhető vállalásokat.</w:t>
      </w:r>
    </w:p>
    <w:p>
      <w:pPr>
        <w:pStyle w:val="Heading1"/>
      </w:pPr>
      <w:r>
        <w:t>20. Külön szolgáltatási mellékletek és átadási minimumok</w:t>
      </w:r>
    </w:p>
    <w:p>
      <w:pPr>
        <w:widowControl/>
      </w:pPr>
      <w:r>
        <w:t>20.1. Weboldal, webshop vagy egyedi szoftver esetén az ajánlat írja le a platformot, a domain/tárhely tulajdonosi státuszát, átadott fiókokat, megengedett módosítások számát, a tesztelés és hibajavítás feltételeit, a fizetős harmadik féltől származó licenceket, valamint a forráskód és az adatbázis felhasználási és átadási jogait.</w:t>
      </w:r>
    </w:p>
    <w:p>
      <w:pPr>
        <w:widowControl/>
      </w:pPr>
      <w:r>
        <w:t>20.2. Hirdetéskezelésnél rögzíteni kell a hirdetési fiók tulajdonosát, hozzáférések körét, a médiaköltés költségviselőjét, jóváhagyási folyamatot, számlázott munkadíjat, leadek fogadását, havi riportot és kampányleállítás menetét. A hirdetési keret nem része a menedzsmentdíjnak, kivéve ha az egyedi ajánlat kifejezetten mást állapít meg.</w:t>
      </w:r>
    </w:p>
    <w:p>
      <w:pPr>
        <w:widowControl/>
      </w:pPr>
      <w:r>
        <w:t>20.3. AI-automatizálásnál a kimenetek felülvizsgálatának felelőse, végrehajtott műveletek jóváhagyása, használt API- és modellpartnerek, költségkeret, adatforrások, hibabiztos leállítás és megrendelői utasítás dokumentálandó. A vállalat nem ígérhet olyan biztonsági vagy adattörlési garanciát, amely a külső szolgáltatóval nem egyeztethető össze.</w:t>
      </w:r>
    </w:p>
    <w:p>
      <w:pPr>
        <w:widowControl/>
      </w:pPr>
      <w:r>
        <w:t>20.4. Üzemeltetési/hosting szolgáltatásnál a mentési feladat és a tényleges mentési gyakoriság, az esetleges helyreállítási idő, a szolgáltatási ablak, távoli hozzáférések, bejelentési csatorna, lehetséges kizárások és esetleges költségvonzatok szerepelnek a külön SLA-ban. Üres SLA nem egészíthető ki kitalált rendelkezésre állási százalékkal.</w:t>
      </w:r>
    </w:p>
    <w:p>
      <w:pPr>
        <w:pStyle w:val="Heading1"/>
      </w:pPr>
      <w:r>
        <w:t>21. Marketing-kommunikáció és referenciahasználat</w:t>
      </w:r>
    </w:p>
    <w:p>
      <w:pPr>
        <w:widowControl/>
      </w:pPr>
      <w:r>
        <w:t>21.1. A Megrendelő és a Worknova marketingcélú kapcsolattartását el kell különíteni a szerződés teljesítéséhez szükséges számlázási, technikai vagy üzemeltetési üzenetektől. Hírlevelek küldéséhez a konkrét címzetti körnél megfelelő jogalap és leiratkozási lehetőség szükséges.</w:t>
      </w:r>
    </w:p>
    <w:p>
      <w:pPr>
        <w:widowControl/>
      </w:pPr>
      <w:r>
        <w:t>21.2. A Megrendelő logóját, nevét, esettanulmányát, kampányeredményét vagy elkészült kreatívját a Worknova referenciaként csak megfelelő szerződéses felhatalmazás és – személyes adat esetén – megfelelő adatvédelmi jogalap mellett használhatja. A bizalmas pénzügyi és ügyféladatok közzététele nem alapulhat pusztán hallgatólagos beleegyezésen.</w:t>
      </w:r>
    </w:p>
    <w:p>
      <w:pPr>
        <w:pStyle w:val="Heading1"/>
      </w:pPr>
      <w:r>
        <w:t>22. Kötelezően ellenőrizendő webes megfelelési elemek</w:t>
      </w:r>
    </w:p>
    <w:p>
      <w:pPr>
        <w:widowControl/>
      </w:pPr>
      <w:r>
        <w:t>22.1. A honlapon külön elérhető, naprakész impresszum, adatkezelési és sütitájékoztató szükséges. A nem feltétlenül szükséges sütik és mérési/hirdetési technológiák jogszerű hozzájáruláskezelése nem helyettesíthető az ÁSZF-be írt általános hozzájárulással.</w:t>
      </w:r>
    </w:p>
    <w:p>
      <w:pPr>
        <w:widowControl/>
      </w:pPr>
      <w:r>
        <w:t>22.2. Az ÁSZF elfogadása és a hírlevél-hozzájárulás két külön jognyilatkozat. A fogyasztói online elállási funkciót, amennyiben alkalmazandó, 2026. június 19-től a törvény szerinti felirattal, megerősítéssel és elektronikus visszaigazolással kell biztosítani; a megszűnt EU ODR-platformra mutató link nem kötelező vitarendezési tájékoztató.</w:t>
      </w:r>
    </w:p>
    <w:p>
      <w:pPr>
        <w:widowControl/>
      </w:pPr>
      <w:r>
        <w:t>22.3. A külső termékek, számlázó-, fizetési-, hosting- és AI API-partnerek adatvédelmi szerepét nem pusztán az ÁSZF, hanem megfelelő külön adatkezelési tájékoztató, adatfeldolgozói szerződés és technikai nyilvántartás rendezi.</w:t>
      </w:r>
    </w:p>
    <w:p>
      <w:pPr>
        <w:pStyle w:val="Heading1"/>
      </w:pPr>
      <w:r>
        <w:t>A. KÖTELEZŐ KERESKEDELMI ADATLAP – minden elfogadott ajánlathoz</w:t>
      </w:r>
    </w:p>
    <w:p>
      <w:pPr>
        <w:widowControl/>
      </w:pPr>
      <w:r>
        <w:t xml:space="preserve">Megrendelő jogi neve és azonosítója: [ ]; szolgáltatási tétel: [ ]; pontos eredmény/funkció: [ ]; indulás/futamidő: [ ]; nettó/bruttó ár és adó: [ ]; külső költségek: [ ]; fizetési nap és csatorna: [ ]; hűségidő: [nincs/konkrét]; automatikus megújulás: [igen/nem, feltételek]; lemondási/felmondási mód, joghatás és csatorna: [ ]; elállási tájékoztatás (ha fogyasztó): [ ]; mentés, support és SLA: [ ]; DPA: [igen/nem + adatlap]; felhasználási és forráskódjogok: [ ]; szerződésre irányadó ÁSZF-verzió: [ ]; elfogadás időpontja és módja: [ ]. </w:t>
      </w:r>
      <w:r>
        <w:rPr>
          <w:b/>
          <w:color w:val="132132"/>
        </w:rPr>
        <w:t>Hiányos adatlap mellett az érintett díj- vagy minőségi vállalás nem tekinthető tisztázottnak.</w:t>
      </w:r>
    </w:p>
    <w:p>
      <w:pPr>
        <w:pStyle w:val="Heading1"/>
      </w:pPr>
      <w:r>
        <w:t>B. WEBES KÖZZÉTÉTEL ELŐTTI BLOKKOLÓ ELLENŐRZŐLISTA</w:t>
      </w:r>
    </w:p>
    <w:p>
      <w:pPr>
        <w:widowControl/>
      </w:pPr>
      <w:r>
        <w:rPr>
          <w:b/>
          <w:color w:val="132132"/>
        </w:rPr>
        <w:t>Az alábbi pontok nélkül ez a változat nem végleges webes ÁSZF:</w:t>
      </w:r>
      <w:r>
        <w:t xml:space="preserve"> EV székhely, adószám, nyilvántartási szám és hatóság; tényleges hatálybalépés; ÁSZF-elfogadási és visszaigazolási technika; teljes adatkezelési/sütidokumentáció; fogyasztói elállás konkrét folyamata; minden értékesített csomag végleges díj- és fordulónapi szabályai; jóváhagyott szerződésminták és adatfeldolgozási mellékletek.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06" w:right="1276" w:bottom="1049" w:left="1332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/>
        <w:color w:val="576879"/>
        <w:sz w:val="14"/>
      </w:rPr>
      <w:t xml:space="preserve">WORKNOVA  •  3.0-T SZERZŐDÉSTERVEZET  |  2026.10.23.  |  </w:t>
    </w:r>
    <w:r>
      <w:rPr>
        <w:rFonts w:ascii="Noto Sans" w:hAnsi="Noto Sans"/>
        <w:color w:val="576879"/>
        <w:sz w:val="14"/>
      </w:rPr>
      <w:t xml:space="preserve">OLDAL </w:t>
    </w:r>
    <w:r>
      <w:rPr>
        <w:rFonts w:ascii="Noto Sans" w:hAnsi="Noto Sans"/>
      </w:rPr>
      <w:fldChar w:fldCharType="begin"/>
      <w:instrText xml:space="preserve">PAGE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color="D4E3E6"/>
      </w:pBdr>
    </w:pPr>
    <w:r>
      <w:rPr>
        <w:rFonts w:ascii="Noto Sans" w:hAnsi="Noto Sans"/>
        <w:b/>
        <w:color w:val="089792"/>
        <w:sz w:val="16"/>
      </w:rPr>
      <w:t>W O R K N O V A</w:t>
    </w:r>
    <w:r>
      <w:rPr>
        <w:sz w:val="15"/>
      </w:rPr>
      <w:t xml:space="preserve">   /   WORKNOVA.HU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93" w:lineRule="auto"/>
    </w:pPr>
    <w:rPr>
      <w:rFonts w:ascii="Noto Sans" w:hAnsi="Noto Sans"/>
      <w:color w:val="13213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20"/>
      <w:outlineLvl w:val="0"/>
    </w:pPr>
    <w:rPr>
      <w:rFonts w:asciiTheme="majorHAnsi" w:eastAsiaTheme="majorEastAsia" w:hAnsiTheme="majorHAnsi" w:cstheme="majorBidi" w:ascii="Noto Sans" w:hAnsi="Noto Sans"/>
      <w:b/>
      <w:bCs/>
      <w:color w:val="132132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Noto Sans" w:hAnsi="Noto Sans"/>
      <w:b/>
      <w:bCs/>
      <w:color w:val="13213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WORKNOVA.HU – ÁSZF 3.0-T</dc:title>
  <dc:subject>Worknova általános szerződési feltételek tervezet</dc:subject>
  <dc:creator>Worknova – szerződéstervezet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