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b/>
          <w:color w:val="089792"/>
          <w:sz w:val="20"/>
        </w:rPr>
        <w:t>WORKNOVA / SZERZŐDÉSES DOKUMENTÁCIÓ</w:t>
      </w:r>
    </w:p>
    <w:p>
      <w:pPr>
        <w:spacing w:before="500" w:after="260"/>
      </w:pPr>
      <w:r>
        <w:rPr>
          <w:rFonts w:ascii="Noto Sans" w:hAnsi="Noto Sans"/>
          <w:b/>
          <w:color w:val="132132"/>
          <w:sz w:val="56"/>
        </w:rPr>
        <w:t>INGATLANOS MUNKAFELÜLET</w:t>
      </w:r>
    </w:p>
    <w:p>
      <w:r>
        <w:rPr>
          <w:b/>
          <w:color w:val="089792"/>
          <w:sz w:val="28"/>
        </w:rPr>
        <w:t>ÁLTALÁNOS SZERZŐDÉSI FELTÉTELEK</w:t>
      </w:r>
    </w:p>
    <w:p>
      <w:r>
        <w:t>Ingatlanos ügyviteli szoftver</w:t>
      </w:r>
    </w:p>
    <w:p>
      <w:pPr>
        <w:spacing w:before="360" w:after="300"/>
      </w:pPr>
      <w:r>
        <w:rPr>
          <w:b/>
        </w:rPr>
        <w:t xml:space="preserve">HATÓKÖR  </w:t>
      </w:r>
      <w:r>
        <w:t>Ingyenes alap, egyéni és irodai modulok, adatvisszaadás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99"/>
        <w:gridCol w:w="6123"/>
      </w:tblGrid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Szolgáltató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Gáspár Olivér egyéni vállalkozó (Worknova)</w:t>
            </w:r>
          </w:p>
        </w:tc>
      </w:tr>
      <w:tr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Verzió</w:t>
            </w:r>
          </w:p>
        </w:tc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3.0-T  ·  2026. október 23.</w:t>
            </w:r>
          </w:p>
        </w:tc>
      </w:tr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Státusz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Jogi és üzleti véglegesítést igénylő tervezet</w:t>
            </w:r>
          </w:p>
        </w:tc>
      </w:tr>
    </w:tbl>
    <w:p>
      <w:pPr>
        <w:spacing w:before="500"/>
      </w:pPr>
      <w:r>
        <w:rPr>
          <w:b/>
          <w:color w:val="96432C"/>
          <w:sz w:val="20"/>
        </w:rPr>
        <w:t>FONTOS – KÖZZÉTÉTEL ELŐTT</w:t>
      </w:r>
    </w:p>
    <w:p>
      <w:pPr>
        <w:spacing w:after="0"/>
      </w:pPr>
      <w:r>
        <w:t>A szolgáltató képen megadott vállalkozói azonosító adatai beillesztve. A tényleges díjak, a fizetési/lemondási folyamat, az adatkezelés, a nyilvántartó hatóság adata (ahol szerepel), az elérhetőségek és a műszaki vállalások ellenőrzése még szükséges. A dokumentum jogi ellenőrzésig és a fennmaradó hiányok pótlásáig nem tekinthető végleges, publikálható ÁSZF-nek.</w:t>
      </w:r>
    </w:p>
    <w:p>
      <w:r/>
    </w:p>
    <w:p>
      <w:pPr>
        <w:widowControl/>
      </w:pPr>
      <w:r>
        <w:rPr>
          <w:b/>
          <w:color w:val="132132"/>
        </w:rPr>
        <w:t>3.1 | JOGI ÉS ÜZLETI VÉGLEGESÍTÉST IGÉNYLŐ TERVEZET | 2026. október 23.</w:t>
      </w:r>
    </w:p>
    <w:p>
      <w:pPr>
        <w:widowControl/>
      </w:pPr>
      <w:r>
        <w:rPr>
          <w:b/>
          <w:color w:val="132132"/>
        </w:rPr>
        <w:t>Szolgáltató:</w:t>
      </w:r>
      <w:r>
        <w:t xml:space="preserve"> Gáspár Olivér egyéni vállalkozó (Worknova). Székhely: </w:t>
      </w:r>
      <w:r>
        <w:rPr>
          <w:b/>
          <w:color w:val="132132"/>
        </w:rPr>
        <w:t>1108 Budapest, Tavas utca 6., 1. emelet 6. ajtó</w:t>
      </w:r>
      <w:r>
        <w:t xml:space="preserve">; adószám: </w:t>
      </w:r>
      <w:r>
        <w:rPr>
          <w:b/>
          <w:color w:val="132132"/>
        </w:rPr>
        <w:t>59167488-1-42</w:t>
      </w:r>
      <w:r>
        <w:t xml:space="preserve">; EV-nyilvántartási szám: </w:t>
      </w:r>
      <w:r>
        <w:rPr>
          <w:b/>
          <w:color w:val="132132"/>
        </w:rPr>
        <w:t>57249641</w:t>
      </w:r>
      <w:r>
        <w:t xml:space="preserve">; közösségi adószám: HU59167488; e-mail: </w:t>
      </w:r>
      <w:r>
        <w:rPr>
          <w:b/>
          <w:color w:val="132132"/>
        </w:rPr>
        <w:t>info@worknova.hu</w:t>
      </w:r>
      <w:r>
        <w:t>; web: https://worknova.hu.</w:t>
      </w:r>
    </w:p>
    <w:p>
      <w:pPr>
        <w:widowControl/>
      </w:pPr>
      <w:r>
        <w:rPr>
          <w:b/>
          <w:color w:val="132132"/>
        </w:rPr>
        <w:t>Különleges üzleti alapelv:</w:t>
      </w:r>
      <w:r>
        <w:t xml:space="preserve"> Az Ingatlanos Munkafelület alapfunkcióinak </w:t>
      </w:r>
      <w:r>
        <w:rPr>
          <w:b/>
          <w:color w:val="132132"/>
        </w:rPr>
        <w:t>ingyenes elérhetősége</w:t>
      </w:r>
      <w:r>
        <w:t xml:space="preserve"> és a </w:t>
      </w:r>
      <w:r>
        <w:rPr>
          <w:b/>
          <w:color w:val="132132"/>
        </w:rPr>
        <w:t>külön megrendelhető fizetős szolgáltatások</w:t>
      </w:r>
      <w:r>
        <w:t xml:space="preserve"> egymástól elkülönülnek. Az ingatlanos weboldalkészítési csomagok, a Worknova egyedi fejlesztési projektjei és a letölthető ügyviteli szoftver nem automatikusan ugyanaz a termék. A rendszer korábbi „demó” elnevezése nem módosíthatja az aktuális ingyenes/éles szolgáltatási státuszt.</w:t>
      </w:r>
    </w:p>
    <w:p>
      <w:pPr>
        <w:pStyle w:val="Heading1"/>
      </w:pPr>
      <w:r>
        <w:t>1. Hatály és fogalmak</w:t>
      </w:r>
    </w:p>
    <w:p>
      <w:pPr>
        <w:widowControl/>
      </w:pPr>
      <w:r>
        <w:t>1.1. Jelen feltételek a Worknova által elérhetővé tett ingatlanos munkafelület – letölthető alkalmazás, webes kliens és kapcsolódó felhős háttérrendszer – használatára, regisztrációjára, ingyenes és fizetős funkcióira, irodai és egyéni hozzáféréseire, adatkezelési műveleteire és megszűnésére vonatkoznak.</w:t>
      </w:r>
    </w:p>
    <w:p>
      <w:pPr>
        <w:widowControl/>
      </w:pPr>
      <w:r>
        <w:t>1.2. Irodai Megrendelő az a szervezet, amely saját szerződéssel több felhasználó munkáját szervezi; Egyéni Előfizető az a természetes személy vagy vállalkozás, amely saját hozzáférést vagy kiegészítőt rendel; Adminisztrátor az irodai jogosultságok kezelője; Felhasználó a tényleges munkavégző; Ügyféladat az ingatlanhirdetési, megbízói, vevői, CRM-, levelezési és feltöltött adat, a vonatkozó adatkezelői rendelkezési jogok sérelme nélkül.</w:t>
      </w:r>
    </w:p>
    <w:p>
      <w:pPr>
        <w:widowControl/>
      </w:pPr>
      <w:r>
        <w:t>1.3. A jelen termék-ÁSZF elsőbbséget élvez a Worknova központi ÁSZF-fel szemben az ingatlanos rendszer speciális kérdéseiben. Az adott előfizetés pontos csomagja, ára és határideje az elfogadott megrendelőlapon szerepel. Személyes adatok adatfeldolgozói kezelésénél a DPA vonatkozó rendelkezése az elsődleges. Kötelező jogszabályi rendelkezést egyik dokumentum sem írhat felül.</w:t>
      </w:r>
    </w:p>
    <w:p>
      <w:pPr>
        <w:pStyle w:val="Heading1"/>
      </w:pPr>
      <w:r>
        <w:t>2. Alaprendszer és külön fizetős funkciók</w:t>
      </w:r>
    </w:p>
    <w:p>
      <w:pPr>
        <w:widowControl/>
      </w:pPr>
      <w:r>
        <w:t>2.1. Az aktuálisan közzétett, ingyenesként megjelölt alapfunkciókért kizárólag a rendszer használata vagy az ingyenes regisztráció alapján előfizetési díj nem számítható fel. A Worknova jogosult a jogszerűen közölt ingyenes csomagkorlátokon belül ésszerű visszaélésvédelmi és kapacitáskorlátozást alkalmazni.</w:t>
      </w:r>
    </w:p>
    <w:p>
      <w:pPr>
        <w:widowControl/>
      </w:pPr>
      <w:r>
        <w:t>2.2. Fizetőssé csak az a funkció, tárhelybővítés, irodai modul, integráció, AI-kredit, többfelhasználós jogosultság vagy egyéb add-on válik, amelynek ára és terjedelme a megrendelés előtt egyértelmű és amelyet a fizető fél kifejezetten elfogadott. Az ingyenes alapfelület nem válik visszamenőleg díjkötelessé.</w:t>
      </w:r>
    </w:p>
    <w:p>
      <w:pPr>
        <w:widowControl/>
      </w:pPr>
      <w:r>
        <w:t>2.3. A nyilvános funkciófelsorolás – pl. hirdetésportál-integráció, saját levelező, tárhely, dokumentumolvasó, AI-asszisztens vagy irodavezetői felület – csak a ténylegesen támogatott verzió és aktív csomag szerinti funkcióvállalás. Az adatok, portálok száma, tárhelykvóta, API-limit, régió és licencelt funkciók a termékadatlapból ellenőrizendők.</w:t>
      </w:r>
    </w:p>
    <w:p>
      <w:pPr>
        <w:pStyle w:val="Heading1"/>
      </w:pPr>
      <w:r>
        <w:t>3. Egyéni és irodai előfizető, jogosultságok</w:t>
      </w:r>
    </w:p>
    <w:p>
      <w:pPr>
        <w:widowControl/>
      </w:pPr>
      <w:r>
        <w:t>3.1. Az Irodai Megrendelő kizárólag a saját megrendelőlapján megjelölt felhasználói helyekért és modulokért fizet; az értékesítő saját kiegészítőiért nem válik automatikusan kötelezetté. Az értékesítő a saját nevén aktivált egyéni előfizetés díjfizetője marad, hacsak külön érvényes megrendelés másként nem rendelkezik.</w:t>
      </w:r>
    </w:p>
    <w:p>
      <w:pPr>
        <w:widowControl/>
      </w:pPr>
      <w:r>
        <w:t>3.2. Az irodai adminisztrátor jogosult lehet szervezeti hozzáférést kiadni, módosítani vagy visszavonni, a rendszerben támogatott jogosultsági mátrix szerint. Nem jogosult automatikusan rendelkezni az értékesítő magánfiókjának díjas extra funkcióival, sem más adatkezelő ügyféladatával. A Worknova jogosulatlan jogosultságváltozás esetén értesítést és helyreállítási eljárást biztosít az alkalmazandó felelősségi szabályok szerint.</w:t>
      </w:r>
    </w:p>
    <w:p>
      <w:pPr>
        <w:widowControl/>
      </w:pPr>
      <w:r>
        <w:t>3.3. Munkahelyváltás, irodaváltás vagy tagság megszűnésekor a felek a szervezeti és a személyes adatokra vonatkozó tényleges jogosultságokat kötelesek tisztázni. Nem dönthető el minden CRM-adat „tulajdonjoga” pusztán abból, hogy azt melyik felhasználó rögzítette. A hozzáférés-átadás és export nem sértheti az ingatlantulajdonosok, vevők, az iroda vagy más érintettek jogait.</w:t>
      </w:r>
    </w:p>
    <w:p>
      <w:pPr>
        <w:widowControl/>
      </w:pPr>
      <w:r>
        <w:t>3.4. A szervezet saját felhasználói munkavégzését szabályozza; a Worknova az alapul szolgáló irodai, munkajogi vagy ingatlanközvetítői jogviszonyokban nem válik munkáltatóvá és nem szerez megbízási jogosultságot.</w:t>
      </w:r>
    </w:p>
    <w:p>
      <w:pPr>
        <w:pStyle w:val="Heading1"/>
      </w:pPr>
      <w:r>
        <w:t>4. Regisztráció, aktiválás és szerződés</w:t>
      </w:r>
    </w:p>
    <w:p>
      <w:pPr>
        <w:widowControl/>
      </w:pPr>
      <w:r>
        <w:t>4.1. Az alap-hozzáférés jogszerű regisztrációval vagy meghívással keletkezhet. A díjfizetési kötelezettség a fizetős funkció külön és bizonyítható megrendelésével jön létre; a letöltés vagy az ingyenes funkció igénybevétele önmagában nem képez fizetős szerződést.</w:t>
      </w:r>
    </w:p>
    <w:p>
      <w:pPr>
        <w:widowControl/>
      </w:pPr>
      <w:r>
        <w:t>4.2. A fizetős megrendelő felület feltünteti a csomagot, felhasználói helyeket, aktív szolgáltatásokat, ciklust, nettó/bruttó fizetendő összeget, áfamegjelölést, megújulás meglétét, az első terhelés időpontját és a megszüntetési feltételeket. Az ÁSZF és szükséges tájékoztatók megőrizhető példánya rendelkezésre áll; az elfogadást naplózni kell.</w:t>
      </w:r>
    </w:p>
    <w:p>
      <w:pPr>
        <w:widowControl/>
      </w:pPr>
      <w:r>
        <w:t>4.3. A szervezet nevében rendelő személynek felhatalmazással kell rendelkeznie. A Worknova jogosult a vitatott képviseleti jogot ésszerűen ellenőrizni és a vitatott díjazást tisztázásig mellőzni.</w:t>
      </w:r>
    </w:p>
    <w:p>
      <w:pPr>
        <w:pStyle w:val="Heading1"/>
      </w:pPr>
      <w:r>
        <w:t>5. Előfizetések, díjak, egyedi kiegészítők</w:t>
      </w:r>
    </w:p>
    <w:p>
      <w:pPr>
        <w:widowControl/>
      </w:pPr>
      <w:r>
        <w:t>5.1. Az aktuális csomagjegyzék külön jelöli az ingyenes alapot, az egyéni fizetős bővítéseket, a csapat- vagy irodai konstrukciókat, a felhasználói helyeket, a tárhelyet, valamint az AI- vagy külső API-használat esetleges díját. Az itt felsorolt konstrukciótípusok nem jelentik, hogy mindegyik jelenleg vásárolható.</w:t>
      </w:r>
    </w:p>
    <w:p>
      <w:pPr>
        <w:widowControl/>
      </w:pPr>
      <w:r>
        <w:t>5.2. Fizetős csomagban a számlázási időszak, kezdőnap, díj, pénznem, fizetési mód, adózási minőség, adó- és külön tranzakciós költség a megrendelésben szerepel. Bővítés, további felhasználói hely vagy kiegészítő külön jóváhagyást igényel, és a változás hatályát, illetve időarányos elszámolását előre közölni kell.</w:t>
      </w:r>
    </w:p>
    <w:p>
      <w:pPr>
        <w:widowControl/>
      </w:pPr>
      <w:r>
        <w:t>5.3. A kizárólag marketinganyagban látható listaár, ajánlott ár vagy jövőbeni tarifaterv nem módosítja a fennálló szerződést. Csomagváltásnál az ingyenes funkciók hozzáférésének változásáról és a csökkenő kvóta adatkövetkezményeiről előzetes tájékoztatás szükséges.</w:t>
      </w:r>
    </w:p>
    <w:p>
      <w:pPr>
        <w:pStyle w:val="Heading1"/>
      </w:pPr>
      <w:r>
        <w:t>6. Automatikus megújulás, lemondás és felmondás</w:t>
      </w:r>
    </w:p>
    <w:p>
      <w:pPr>
        <w:widowControl/>
      </w:pPr>
      <w:r>
        <w:t>6.1. Az előfizetés kizárólag előzetesen elfogadott, egyértelmű automatikus megújulási feltétel alapján hosszabbodik meg. Ha a felület vagy az ajánlat ilyet nem rögzít, a Worknova nem terhelhet díjat puszta hallgatásból. A megújulás kikapcsolható a ténylegesen működő fiókfunkcióval vagy a szerződéses kapcsolattartási e-mailre küldött azonosítható nyilatkozattal.</w:t>
      </w:r>
    </w:p>
    <w:p>
      <w:pPr>
        <w:widowControl/>
      </w:pPr>
      <w:r>
        <w:t>6.2. Megújulás kikapcsolása: a következő ciklus nem indul, de a már megfizetett szolgáltatások főszabály szerint a rendezett időszak végéig élnek. Rendes felmondás: a szerződés jövőbeni lezárása a vállalt tartam és felmondási feltételek szerint. Rendkívüli felmondás: súlyos szerződésszegés vagy jogszabály szerinti ok. Fióktörlés: külön adatkezelési és hozzáférési művelet. E fogalmak nem azonosak.</w:t>
      </w:r>
    </w:p>
    <w:p>
      <w:pPr>
        <w:widowControl/>
      </w:pPr>
      <w:r>
        <w:t>6.3. A Worknova a megszüntetési nyilatkozatra írásban visszaigazolja a szerződés végét, az utolsó fizetési napot, az adatexport lehetőségét és az adatok további sorsát. Fogyasztói elállási/felmondási jogok, szavatossági jogosultságok külön alkalmazandók, és elsőbbséget élveznek.</w:t>
      </w:r>
    </w:p>
    <w:p>
      <w:pPr>
        <w:widowControl/>
      </w:pPr>
      <w:r>
        <w:t>6.4. Lényeges, javítható kötelezettségszegés esetén arányos felszólítás és megfelelő póthatáridő adható. Jogosulatlan hozzáférés vagy közvetlen adatbiztonsági veszély esetén a Worknova a szükséges funkciókat azonnal korlátozhatja, az intézkedést dokumentálva. Díjvita nem jogcím az ügyféladatok jogellenes megsemmisítésére.</w:t>
      </w:r>
    </w:p>
    <w:p>
      <w:pPr>
        <w:pStyle w:val="Heading1"/>
      </w:pPr>
      <w:r>
        <w:t>7. Kliensprogram, licenc, telepítés és frissítés</w:t>
      </w:r>
    </w:p>
    <w:p>
      <w:pPr>
        <w:widowControl/>
      </w:pPr>
      <w:r>
        <w:t>7.1. A felhasználó a szerződés fennállása alatt a szoftver céljával összhangban álló, nem kizárólagos, nem átruházható használati jogot kap. A Worknova és a jogosult harmadik felek szellemi tulajdonjoga fennmarad. Visszafejtési és más tiltások nem vonatkozhatnak a törvényben kötelezően engedélyezett interoperabilitási műveletekre.</w:t>
      </w:r>
    </w:p>
    <w:p>
      <w:pPr>
        <w:widowControl/>
      </w:pPr>
      <w:r>
        <w:t>7.2. A letöltési forrás, támogatott operációs rendszer, minimális rendszerkövetelmény, frissítési rend és hitelesítés módja a termékadatlap része. A felhasználó csak megbízható forrásból telepítsen, és a támogatott biztonsági frissítéseket alkalmazza. A program Windows, macOS vagy mobileszközökön csak azokon a platformokon támogatott, amelyeket a szolgáltatás ténylegesen publikált.</w:t>
      </w:r>
    </w:p>
    <w:p>
      <w:pPr>
        <w:widowControl/>
      </w:pPr>
      <w:r>
        <w:t>7.3. A Worknova jogosult biztonsági vagy kompatibilitási frissítést elvégezni, ám a fizetett lényeges funkció egyoldalú, hátrányos megszüntetéséhez a jog és a szerződés szerinti tájékoztatás és jogosultság szükséges.</w:t>
      </w:r>
    </w:p>
    <w:p>
      <w:pPr>
        <w:pStyle w:val="Heading1"/>
      </w:pPr>
      <w:r>
        <w:t>8. Ingatlanhirdetések, portál-integrációk és tartalomjogok</w:t>
      </w:r>
    </w:p>
    <w:p>
      <w:pPr>
        <w:widowControl/>
      </w:pPr>
      <w:r>
        <w:t>8.1. A Felhasználó csak olyan ingatlanhirdetést, fotót, alaprajzot, elérhetőséget, személyes adatot vagy hirdetési szöveget rögzíthet, amelynek kezelésére és közzétételére jogszerű felhatalmazása van. A Worknova nem vállal általános felelősséget a hirdetett ingatlan valódiságáért, tulajdoni helyzetéért és a hirdetési állításokért, de saját, dokumentált szoftverhibájáért felel.</w:t>
      </w:r>
    </w:p>
    <w:p>
      <w:pPr>
        <w:widowControl/>
      </w:pPr>
      <w:r>
        <w:t>8.2. A hirdetési portálokhoz történő adatküldés a kapcsolt portál aktuális API-feltételeitől, engedélyeitől, limiteitől és tényleges rendelkezésre állásától függ. A portálokra történő automatikus feladás, törlés vagy frissítés csak akkor biztosított, ha az aktív verzió, a fiók és a portál engedélyezi. Jogosulatlan scraping, hozzáféréskerülés és portálkorlátozás-megkerülés nem megengedett.</w:t>
      </w:r>
    </w:p>
    <w:p>
      <w:pPr>
        <w:widowControl/>
      </w:pPr>
      <w:r>
        <w:t>8.3. Az ingatlanos rendszer nem minősül ingatlan-nyilvántartási hiteles forrásnak, jogi tanácsadónak vagy az ingatlanközvetítési szolgáltatás helyettesítőjének. A felhasználó a nyilvános közlés előtt ellenőrzi az adatokat és az ügyfél felhatalmazását.</w:t>
      </w:r>
    </w:p>
    <w:p>
      <w:pPr>
        <w:pStyle w:val="Heading1"/>
      </w:pPr>
      <w:r>
        <w:t>9. CRM, e-mail, dokumentum és tárhely</w:t>
      </w:r>
    </w:p>
    <w:p>
      <w:pPr>
        <w:widowControl/>
      </w:pPr>
      <w:r>
        <w:t>9.1. A CRM-ben szereplő tulajdonosok, vevők, érdeklődők, megbízási szerződések és más ügyféladatok kezelésének célját rendszerint a használó ingatlanos vagy iroda határozza meg. A Worknova az ilyen adatok tekintetében – tényleges szerepétől függően – adatfeldolgozóként járhat el; ehhez GDPR 28. cikke szerinti megállapodás szükséges.</w:t>
      </w:r>
    </w:p>
    <w:p>
      <w:pPr>
        <w:widowControl/>
      </w:pPr>
      <w:r>
        <w:t>9.2. E-mailküldés, levelezőfiók-szinkronizáció, PDF-feldolgozás, dokumentummegosztás és felhőtárhely csak a konkrétan támogatott szolgáltatásban és jogosultsági körben használható. A rendszer nem jogosítja fel a felhasználót harmadik személy levelezésének jogosulatlan megtekintésére vagy személyes adatok jogosulatlan feldolgozására.</w:t>
      </w:r>
    </w:p>
    <w:p>
      <w:pPr>
        <w:widowControl/>
      </w:pPr>
      <w:r>
        <w:t>9.3. A tényleges tárhelykvóta, fájltípus- és méretkorlát, levelezési volumen, vírusellenőrzés, megőrzés és mentési rend a technikai szolgáltatási adatlapon szerepel. A korábbi marketinganyagban szereplő kapacitás csak akkor válik szerződéses vállalássá, ha a végleges, elfogadott csomag ezt rögzíti.</w:t>
      </w:r>
    </w:p>
    <w:p>
      <w:pPr>
        <w:pStyle w:val="Heading1"/>
      </w:pPr>
      <w:r>
        <w:t>10. AI-asszisztens és további automatizálás</w:t>
      </w:r>
    </w:p>
    <w:p>
      <w:pPr>
        <w:widowControl/>
      </w:pPr>
      <w:r>
        <w:t>10.1. A program AI-asszisztenssel, szöveggenerálással, dokumentumfeldolgozással vagy feladat-automatizálással bővülhet. A konkrét API-partnert, adatkategóriát, feldolgozási régiót, modellhez továbbított tartalmat és díjkeretet a kapcsolódó termékadatlap, adatkezelési tájékoztató és – ahol szükséges – DPA közli.</w:t>
      </w:r>
    </w:p>
    <w:p>
      <w:pPr>
        <w:widowControl/>
      </w:pPr>
      <w:r>
        <w:t>10.2. Az AI által készített ingatlanleírás, árjavaslat, e-mail vagy összefoglaló hibás lehet; az értékesítő köteles a hirdetés és az ügyfélnek küldött lényeges állítások helyességét ellenőrizni. A Worknova saját szoftveres és adatbiztonsági vállalásai változatlanok.</w:t>
      </w:r>
    </w:p>
    <w:p>
      <w:pPr>
        <w:widowControl/>
      </w:pPr>
      <w:r>
        <w:t>10.3. Automatikus üzenetküldés, tömeges marketing, hirdetésfeladás és külső adatfrissítés csak megfelelő jogosultsággal, adatvédelmi feltételekkel és előre meghatározott műveleti jóváhagyással engedélyezett.</w:t>
      </w:r>
    </w:p>
    <w:p>
      <w:pPr>
        <w:pStyle w:val="Heading1"/>
      </w:pPr>
      <w:r>
        <w:t>11. Adatfeldolgozás, titoktartás és adatbiztonság</w:t>
      </w:r>
    </w:p>
    <w:p>
      <w:pPr>
        <w:widowControl/>
      </w:pPr>
      <w:r>
        <w:t>11.1. A Worknova önálló adatkezelő a saját regisztráció, számlázás, support és jogi kötelezettségek teljesítéséhez szükséges adatoknál. Más adatkezelők ingatlanos ügyféladatainak feldolgozásakor a szerepköröket, a célt, az utasításokat, a megőrzést, az al-adatfeldolgozókat és a biztonsági intézkedéseket szerződésben kell rögzíteni.</w:t>
      </w:r>
    </w:p>
    <w:p>
      <w:pPr>
        <w:widowControl/>
      </w:pPr>
      <w:r>
        <w:t>11.2. A felhasználók adatainak egymástól való elkülönítése, szerepkörök, azonosítás és jogosultság-visszavonás a rendszer biztonsági alapelve. A konkrét MFA-képesség, naplózási idő, mentés és helyreállítási cél csak technikai adatlap vagy SLA alapján vállalt.</w:t>
      </w:r>
    </w:p>
    <w:p>
      <w:pPr>
        <w:widowControl/>
      </w:pPr>
      <w:r>
        <w:t>11.3. Adatvédelmi vagy információbiztonsági eseménynél a felek haladéktalanul együttműködnek; a Worknova adatfeldolgozói minőségében az adatkezelőt indokolatlan késedelem nélkül tájékoztatja a tudomására jutott személyesadat-sértésről, és a DPA-ban vállalt segítséget biztosítja.</w:t>
      </w:r>
    </w:p>
    <w:p>
      <w:pPr>
        <w:pStyle w:val="Heading1"/>
      </w:pPr>
      <w:r>
        <w:t>12. Üzemeltetés, rendszerhiba és harmadik felek</w:t>
      </w:r>
    </w:p>
    <w:p>
      <w:pPr>
        <w:widowControl/>
      </w:pPr>
      <w:r>
        <w:t>12.1. A Worknova ésszerű szakmai gondossággal üzemeltet és hibát kezel. Kötelezően mérhető szolgáltatási szint – például 99,9%-os havi rendelkezésre állás, meghatározott RPO/RTO vagy 24 órás support – kizárólag külön elfogadott, mérési definíciót tartalmazó SLA-ban áll fenn.</w:t>
      </w:r>
    </w:p>
    <w:p>
      <w:pPr>
        <w:widowControl/>
      </w:pPr>
      <w:r>
        <w:t>12.2. A portálok, levelező-, AI-, fizetési-, tárhely- és operációsrendszer-szolgáltatók változásai befolyásolhatják az egyes funkciókat. A Worknova a szükséges mértékben tájékoztat és ésszerű hibaelhárítást kezdeményez, de saját kötelezettsége alól nem mentesül automatikusan minden harmadik félre hivatkozva.</w:t>
      </w:r>
    </w:p>
    <w:p>
      <w:pPr>
        <w:widowControl/>
      </w:pPr>
      <w:r>
        <w:t>12.3. Az ügyfél saját hálózata, eszköze, jogosultsága, portálfiókja és annak költsége a felelősség megállapításánál külön mérlegelendő. Hibabejelentés címzettje a megjelölt supportcsatorna.</w:t>
      </w:r>
    </w:p>
    <w:p>
      <w:pPr>
        <w:pStyle w:val="Heading1"/>
      </w:pPr>
      <w:r>
        <w:t>13. Adatexport, irodaváltás, fiókzárás és törlés</w:t>
      </w:r>
    </w:p>
    <w:p>
      <w:pPr>
        <w:widowControl/>
      </w:pPr>
      <w:r>
        <w:t>13.1. Az adatexport az ügyfél saját, jogszerűen kiadható adatainak átadását jelenti, nem más iroda ügyféladatainak vagy a Worknova védett forráskódjának átadását. A technikai adatlap pontosítja az exportformátumot és az átadható mezők körét, a jogosultság-ellenőrzést, a kérelem módját és – a jogszabályi minimumokon felül – vállalt időtartamát.</w:t>
      </w:r>
    </w:p>
    <w:p>
      <w:pPr>
        <w:widowControl/>
      </w:pPr>
      <w:r>
        <w:t>13.2. Az előfizetés megszűnése nem azonos a fiók törlésével. Az adatok visszaadását és a törlést a GDPR 28. cikke szerinti adatfeldolgozói utasítások, az alkalmazandó számviteli és más megőrzési kötelezettségek, valamint a szolgáltatóváltásra alkalmazandó EU Data Act-szabályok alapján kell rendezni.</w:t>
      </w:r>
    </w:p>
    <w:p>
      <w:pPr>
        <w:widowControl/>
      </w:pPr>
      <w:r>
        <w:t>13.3. Az EU Data Act hatálya alá tartozó adatfeldolgozási szolgáltatásnál a szerződéses átállás, határidők, adatexport és törlés kötelező szabályai alkalmazandók. A rendszer konkrét funkció- és exportleltárának hiányában az ÁSZF nem vállal megalapozatlan azonnali, teljes formátumkonverziót vagy minden harmadik fél platformjára automatikus migrációt.</w:t>
      </w:r>
    </w:p>
    <w:p>
      <w:pPr>
        <w:pStyle w:val="Heading1"/>
      </w:pPr>
      <w:r>
        <w:t>14. ÁSZF- és díjmódosítás, szellemi tulajdon</w:t>
      </w:r>
    </w:p>
    <w:p>
      <w:pPr>
        <w:widowControl/>
      </w:pPr>
      <w:r>
        <w:t>14.1. A Worknova a jövőbeni ügyfelekre új díjjegyzéket közzétehet. Meglévő fizetős szerződésben lényeges áremelés, funkcióvesztés vagy feltételmódosítás csak a jogszabály és az elfogadott szerződés szerinti jogalappal, megfelelő tájékoztatással és szükség esetén megszüntetési joggal alkalmazható.</w:t>
      </w:r>
    </w:p>
    <w:p>
      <w:pPr>
        <w:widowControl/>
      </w:pPr>
      <w:r>
        <w:t>14.2. A kliensprogram, felhős backend, sablonok és Worknova márkajelzések szellemi tulajdona az arra jogosultnál marad. A felhasználó által bevitt adatokból nem keletkezik a Worknova javára korlátlan kereskedelmi hasznosítási jog.</w:t>
      </w:r>
    </w:p>
    <w:p>
      <w:pPr>
        <w:pStyle w:val="Heading1"/>
      </w:pPr>
      <w:r>
        <w:t>15. Felelősség, fogyasztói jogok és panasz</w:t>
      </w:r>
    </w:p>
    <w:p>
      <w:pPr>
        <w:widowControl/>
      </w:pPr>
      <w:r>
        <w:t>15.1. A szolgáltatás eredménye nem garantál meghatározott ingatlaneladási megbízást, értékesítést vagy bevételt. A Worknova saját teljesítési hibájáért a magyar jog szerint felel. Nem zárható ki jogellenesen a szándékos károkozás, az életet, testi épséget vagy egészséget sértő szerződésszegés, illetve a kógens fogyasztói/szavatossági jogok.</w:t>
      </w:r>
    </w:p>
    <w:p>
      <w:pPr>
        <w:widowControl/>
      </w:pPr>
      <w:r>
        <w:t>15.2. Magánszemély tényleges fogyasztói jogállása esetén a megfelelő tájékoztatást, elállást/felmondást, kellékszavatosságot és digitális szolgáltatáshoz kapcsolódó jogokat biztosítani kell. A pusztán ingyenes regisztráció nem adhat alapot nem közölt előfizetéses terhelésre.</w:t>
      </w:r>
    </w:p>
    <w:p>
      <w:pPr>
        <w:widowControl/>
      </w:pPr>
      <w:r>
        <w:t>15.3. Panasz és megszüntetési nyilatkozat a szerződéses címre küldhető. A fogyasztói panaszkezelés és vitarendezés kötelező szabályai alkalmazandók. A magyar jog az irányadó a kötelező fogyasztóvédelmi kollíziós szabályok sérelme nélkül.</w:t>
      </w:r>
    </w:p>
    <w:p>
      <w:pPr>
        <w:pStyle w:val="Heading1"/>
      </w:pPr>
      <w:r>
        <w:t>C. INGATLANOS CSOMAG-, JOGOSULTSÁG- ÉS ADATKEZELÉSI ADATLAP</w:t>
      </w:r>
    </w:p>
    <w:p>
      <w:pPr>
        <w:widowControl/>
      </w:pPr>
      <w:r>
        <w:t xml:space="preserve">Szerződő személy vagy iroda: </w:t>
      </w:r>
      <w:r>
        <w:rPr>
          <w:b/>
          <w:color w:val="96432C"/>
        </w:rPr>
        <w:t>[[ ]]</w:t>
      </w:r>
      <w:r>
        <w:t xml:space="preserve">; számlafizető: </w:t>
      </w:r>
      <w:r>
        <w:rPr>
          <w:b/>
          <w:color w:val="96432C"/>
        </w:rPr>
        <w:t>[[ ]]</w:t>
      </w:r>
      <w:r>
        <w:t xml:space="preserve">; szervezeti admin: </w:t>
      </w:r>
      <w:r>
        <w:rPr>
          <w:b/>
          <w:color w:val="96432C"/>
        </w:rPr>
        <w:t>[[ ]]</w:t>
      </w:r>
      <w:r>
        <w:t xml:space="preserve">; ingyenes alapfunkciók: </w:t>
      </w:r>
      <w:r>
        <w:rPr>
          <w:b/>
          <w:color w:val="96432C"/>
        </w:rPr>
        <w:t>[[ ]]</w:t>
      </w:r>
      <w:r>
        <w:t xml:space="preserve">; aktivált fizetős add-on: </w:t>
      </w:r>
      <w:r>
        <w:rPr>
          <w:b/>
          <w:color w:val="96432C"/>
        </w:rPr>
        <w:t>[[ ]]</w:t>
      </w:r>
      <w:r>
        <w:t xml:space="preserve">; felhasználói helyek: </w:t>
      </w:r>
      <w:r>
        <w:rPr>
          <w:b/>
          <w:color w:val="96432C"/>
        </w:rPr>
        <w:t>[[ ]]</w:t>
      </w:r>
      <w:r>
        <w:t xml:space="preserve">; helyenkénti hozzáférés és adattulajdonosi szerep: </w:t>
      </w:r>
      <w:r>
        <w:rPr>
          <w:b/>
          <w:color w:val="96432C"/>
        </w:rPr>
        <w:t>[[ ]]</w:t>
      </w:r>
      <w:r>
        <w:t xml:space="preserve">; ár/adó/ciklus: </w:t>
      </w:r>
      <w:r>
        <w:rPr>
          <w:b/>
          <w:color w:val="96432C"/>
        </w:rPr>
        <w:t>[[ ]]</w:t>
      </w:r>
      <w:r>
        <w:t xml:space="preserve">; megújulás: </w:t>
      </w:r>
      <w:r>
        <w:rPr>
          <w:b/>
          <w:color w:val="96432C"/>
        </w:rPr>
        <w:t>[[ ]]</w:t>
      </w:r>
      <w:r>
        <w:t xml:space="preserve">; lemondási csatorna: </w:t>
      </w:r>
      <w:r>
        <w:rPr>
          <w:b/>
          <w:color w:val="96432C"/>
        </w:rPr>
        <w:t>[[ ]]</w:t>
      </w:r>
      <w:r>
        <w:t xml:space="preserve">; portálok és engedélyek: </w:t>
      </w:r>
      <w:r>
        <w:rPr>
          <w:b/>
          <w:color w:val="96432C"/>
        </w:rPr>
        <w:t>[[ ]]</w:t>
      </w:r>
      <w:r>
        <w:t xml:space="preserve">; tárhely és levelezési kvóta: </w:t>
      </w:r>
      <w:r>
        <w:rPr>
          <w:b/>
          <w:color w:val="96432C"/>
        </w:rPr>
        <w:t>[[ ]]</w:t>
      </w:r>
      <w:r>
        <w:t xml:space="preserve">; AI API és költségkeret: </w:t>
      </w:r>
      <w:r>
        <w:rPr>
          <w:b/>
          <w:color w:val="96432C"/>
        </w:rPr>
        <w:t>[[ ]]</w:t>
      </w:r>
      <w:r>
        <w:t xml:space="preserve">; export, formátum és hozzáférési idő: </w:t>
      </w:r>
      <w:r>
        <w:rPr>
          <w:b/>
          <w:color w:val="96432C"/>
        </w:rPr>
        <w:t>[[ ]]</w:t>
      </w:r>
      <w:r>
        <w:t xml:space="preserve">; adatkezelő(k) és DPA: </w:t>
      </w:r>
      <w:r>
        <w:rPr>
          <w:b/>
          <w:color w:val="96432C"/>
        </w:rPr>
        <w:t>[[ ]]</w:t>
      </w:r>
      <w:r>
        <w:t xml:space="preserve">; mentés/support/SLA: </w:t>
      </w:r>
      <w:r>
        <w:rPr>
          <w:b/>
          <w:color w:val="96432C"/>
        </w:rPr>
        <w:t>[[ ]]</w:t>
      </w:r>
      <w:r>
        <w:t xml:space="preserve">; elfogadott ÁSZF-verzió és időbélyeg: </w:t>
      </w:r>
      <w:r>
        <w:rPr>
          <w:b/>
          <w:color w:val="96432C"/>
        </w:rPr>
        <w:t>[[ ]]</w:t>
      </w:r>
      <w:r>
        <w:t>.</w:t>
      </w:r>
    </w:p>
    <w:p>
      <w:pPr>
        <w:widowControl/>
      </w:pPr>
      <w:r>
        <w:rPr>
          <w:b/>
          <w:color w:val="132132"/>
        </w:rPr>
        <w:t>A díjas szolgáltatások kötelezettségvállalása és az érzékeny adatkezelési rendelkezések az adatlap érdemi kitöltése és elfogadása után véglegesíthetők.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06" w:right="1276" w:bottom="1049" w:left="1332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color w:val="576879"/>
        <w:sz w:val="14"/>
      </w:rPr>
      <w:t xml:space="preserve">WORKNOVA  •  3.0-T SZERZŐDÉSTERVEZET  |  2026.10.23.  |  </w:t>
    </w:r>
    <w:r>
      <w:rPr>
        <w:rFonts w:ascii="Noto Sans" w:hAnsi="Noto Sans"/>
        <w:color w:val="576879"/>
        <w:sz w:val="14"/>
      </w:rPr>
      <w:t xml:space="preserve">OLDAL </w:t>
    </w:r>
    <w:r>
      <w:rPr>
        <w:rFonts w:ascii="Noto Sans" w:hAnsi="Noto Sans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color="D4E3E6"/>
      </w:pBdr>
    </w:pPr>
    <w:r>
      <w:rPr>
        <w:rFonts w:ascii="Noto Sans" w:hAnsi="Noto Sans"/>
        <w:b/>
        <w:color w:val="089792"/>
        <w:sz w:val="16"/>
      </w:rPr>
      <w:t>W O R K N O V A</w:t>
    </w:r>
    <w:r>
      <w:rPr>
        <w:sz w:val="15"/>
      </w:rPr>
      <w:t xml:space="preserve">   /   INGATLANOS MUNKAFELÜLET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Noto Sans" w:hAnsi="Noto Sans"/>
      <w:color w:val="1321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20"/>
      <w:outlineLvl w:val="0"/>
    </w:pPr>
    <w:rPr>
      <w:rFonts w:asciiTheme="majorHAnsi" w:eastAsiaTheme="majorEastAsia" w:hAnsiTheme="majorHAnsi" w:cstheme="majorBidi" w:ascii="Noto Sans" w:hAnsi="Noto Sans"/>
      <w:b/>
      <w:bCs/>
      <w:color w:val="13213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1321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INGATLANOS MUNKAFELÜLET – ÁSZF 3.0-T</dc:title>
  <dc:subject>Worknova általános szerződési feltételek tervezet</dc:subject>
  <dc:creator>Worknova – szerződéstervezet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