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0"/>
      </w:pPr>
      <w:r>
        <w:rPr>
          <w:b/>
          <w:color w:val="089792"/>
          <w:sz w:val="20"/>
        </w:rPr>
        <w:t>WORKNOVA / SZERZŐDÉSES DOKUMENTÁCIÓ</w:t>
      </w:r>
    </w:p>
    <w:p>
      <w:pPr>
        <w:spacing w:before="500" w:after="260"/>
      </w:pPr>
      <w:r>
        <w:rPr>
          <w:rFonts w:ascii="Noto Sans" w:hAnsi="Noto Sans"/>
          <w:b/>
          <w:color w:val="132132"/>
          <w:sz w:val="56"/>
        </w:rPr>
        <w:t>MARKETINGGÉPEZET</w:t>
      </w:r>
    </w:p>
    <w:p>
      <w:r>
        <w:rPr>
          <w:b/>
          <w:color w:val="089792"/>
          <w:sz w:val="28"/>
        </w:rPr>
        <w:t>ÁLTALÁNOS SZERZŐDÉSI FELTÉTELEK</w:t>
      </w:r>
    </w:p>
    <w:p>
      <w:r>
        <w:t>Marketingautomatizálási felület</w:t>
      </w:r>
    </w:p>
    <w:p>
      <w:pPr>
        <w:spacing w:before="360" w:after="300"/>
      </w:pPr>
      <w:r>
        <w:rPr>
          <w:b/>
        </w:rPr>
        <w:t xml:space="preserve">HATÓKÖR  </w:t>
      </w:r>
      <w:r>
        <w:t>Kipróbálás, kampányok, médiaköltés, előfizetés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99"/>
        <w:gridCol w:w="6123"/>
      </w:tblGrid>
      <w:tr>
        <w:tc>
          <w:tcPr>
            <w:tcW w:type="dxa" w:w="4816"/>
            <w:vAlign w:val="center"/>
            <w:shd w:fill="F1F6F7"/>
          </w:tcPr>
          <w:p>
            <w:pPr>
              <w:spacing w:after="100" w:before="100"/>
            </w:pPr>
            <w:r>
              <w:rPr>
                <w:b/>
                <w:color w:val="576879"/>
                <w:sz w:val="17"/>
              </w:rPr>
              <w:t>Szolgáltató</w:t>
            </w:r>
          </w:p>
        </w:tc>
        <w:tc>
          <w:tcPr>
            <w:tcW w:type="dxa" w:w="4816"/>
            <w:vAlign w:val="center"/>
            <w:shd w:fill="F1F6F7"/>
          </w:tcPr>
          <w:p>
            <w:pPr>
              <w:spacing w:after="100" w:before="100"/>
            </w:pPr>
            <w:r>
              <w:rPr>
                <w:b w:val="0"/>
                <w:color w:val="132132"/>
                <w:sz w:val="17"/>
              </w:rPr>
              <w:t>Gáspár Olivér egyéni vállalkozó (Worknova)</w:t>
            </w:r>
          </w:p>
        </w:tc>
      </w:tr>
      <w:tr>
        <w:tc>
          <w:tcPr>
            <w:tcW w:type="dxa" w:w="4816"/>
            <w:vAlign w:val="center"/>
          </w:tcPr>
          <w:p>
            <w:pPr>
              <w:spacing w:after="100" w:before="100"/>
            </w:pPr>
            <w:r>
              <w:rPr>
                <w:b/>
                <w:color w:val="576879"/>
                <w:sz w:val="17"/>
              </w:rPr>
              <w:t>Verzió</w:t>
            </w:r>
          </w:p>
        </w:tc>
        <w:tc>
          <w:tcPr>
            <w:tcW w:type="dxa" w:w="4816"/>
            <w:vAlign w:val="center"/>
          </w:tcPr>
          <w:p>
            <w:pPr>
              <w:spacing w:after="100" w:before="100"/>
            </w:pPr>
            <w:r>
              <w:rPr>
                <w:b w:val="0"/>
                <w:color w:val="132132"/>
                <w:sz w:val="17"/>
              </w:rPr>
              <w:t>3.0-T  ·  2026. október 23.</w:t>
            </w:r>
          </w:p>
        </w:tc>
      </w:tr>
      <w:tr>
        <w:tc>
          <w:tcPr>
            <w:tcW w:type="dxa" w:w="4816"/>
            <w:vAlign w:val="center"/>
            <w:shd w:fill="F1F6F7"/>
          </w:tcPr>
          <w:p>
            <w:pPr>
              <w:spacing w:after="100" w:before="100"/>
            </w:pPr>
            <w:r>
              <w:rPr>
                <w:b/>
                <w:color w:val="576879"/>
                <w:sz w:val="17"/>
              </w:rPr>
              <w:t>Státusz</w:t>
            </w:r>
          </w:p>
        </w:tc>
        <w:tc>
          <w:tcPr>
            <w:tcW w:type="dxa" w:w="4816"/>
            <w:vAlign w:val="center"/>
            <w:shd w:fill="F1F6F7"/>
          </w:tcPr>
          <w:p>
            <w:pPr>
              <w:spacing w:after="100" w:before="100"/>
            </w:pPr>
            <w:r>
              <w:rPr>
                <w:b w:val="0"/>
                <w:color w:val="132132"/>
                <w:sz w:val="17"/>
              </w:rPr>
              <w:t>Jogi és üzleti véglegesítést igénylő tervezet</w:t>
            </w:r>
          </w:p>
        </w:tc>
      </w:tr>
    </w:tbl>
    <w:p>
      <w:pPr>
        <w:spacing w:before="500"/>
      </w:pPr>
      <w:r>
        <w:rPr>
          <w:b/>
          <w:color w:val="96432C"/>
          <w:sz w:val="20"/>
        </w:rPr>
        <w:t>FONTOS – KÖZZÉTÉTEL ELŐTT</w:t>
      </w:r>
    </w:p>
    <w:p>
      <w:pPr>
        <w:spacing w:after="0"/>
      </w:pPr>
      <w:r>
        <w:t>A szolgáltató képen megadott vállalkozói azonosító adatai beillesztve. A tényleges díjak, a fizetési/lemondási folyamat, az adatkezelés, a nyilvántartó hatóság adata (ahol szerepel), az elérhetőségek és a műszaki vállalások ellenőrzése még szükséges. A dokumentum jogi ellenőrzésig és a fennmaradó hiányok pótlásáig nem tekinthető végleges, publikálható ÁSZF-nek.</w:t>
      </w:r>
    </w:p>
    <w:p>
      <w:r/>
    </w:p>
    <w:p>
      <w:pPr>
        <w:widowControl/>
      </w:pPr>
      <w:r>
        <w:rPr>
          <w:b/>
          <w:color w:val="132132"/>
        </w:rPr>
        <w:t>3.1 | JOGI ÉS ÜZLETI VÉGLEGESÍTÉST IGÉNYLŐ TERVEZET | 2026. október 23.</w:t>
      </w:r>
    </w:p>
    <w:p>
      <w:pPr>
        <w:widowControl/>
      </w:pPr>
      <w:r>
        <w:rPr>
          <w:b/>
          <w:color w:val="132132"/>
        </w:rPr>
        <w:t>Szolgáltató:</w:t>
      </w:r>
      <w:r>
        <w:t xml:space="preserve"> Gáspár Olivér egyéni vállalkozó (Worknova). Székhely: </w:t>
      </w:r>
      <w:r>
        <w:rPr>
          <w:b/>
          <w:color w:val="132132"/>
        </w:rPr>
        <w:t>1108 Budapest, Tavas utca 6., 1. emelet 6. ajtó</w:t>
      </w:r>
      <w:r>
        <w:t xml:space="preserve">; adószám: </w:t>
      </w:r>
      <w:r>
        <w:rPr>
          <w:b/>
          <w:color w:val="132132"/>
        </w:rPr>
        <w:t>59167488-1-42</w:t>
      </w:r>
      <w:r>
        <w:t xml:space="preserve">; EV-nyilvántartási szám: </w:t>
      </w:r>
      <w:r>
        <w:rPr>
          <w:b/>
          <w:color w:val="132132"/>
        </w:rPr>
        <w:t>57249641</w:t>
      </w:r>
      <w:r>
        <w:t xml:space="preserve">; közösségi adószám: HU59167488; e-mail: </w:t>
      </w:r>
      <w:r>
        <w:rPr>
          <w:b/>
          <w:color w:val="132132"/>
        </w:rPr>
        <w:t>info@worknova.hu</w:t>
      </w:r>
      <w:r>
        <w:t>; webhely: https://worknova.hu.</w:t>
      </w:r>
    </w:p>
    <w:p>
      <w:pPr>
        <w:widowControl/>
      </w:pPr>
      <w:r>
        <w:rPr>
          <w:b/>
          <w:color w:val="132132"/>
        </w:rPr>
        <w:t>Tárgy:</w:t>
      </w:r>
      <w:r>
        <w:t xml:space="preserve"> a Marketinggépezet elnevezésű kipróbálható marketing- és automatizálási felület, valamint az azon keresztül külön megrendelt kampánytervezési, hirdetéskezelési, tartalom- és ügyfélszerzési szolgáltatások. A felület használata és a Worknova által végzett menedzselt marketingmunka nem azonos szolgáltatás.</w:t>
      </w:r>
    </w:p>
    <w:p>
      <w:pPr>
        <w:pStyle w:val="Heading1"/>
      </w:pPr>
      <w:r>
        <w:t>1. A szolgáltatás típusa és dokumentumok elsőbbsége</w:t>
      </w:r>
    </w:p>
    <w:p>
      <w:pPr>
        <w:widowControl/>
      </w:pPr>
      <w:r>
        <w:t>1.1. A Marketinggépezet lehetőséget adhat – a ténylegesen közzétett funkciók szerint – kampányok tervezésére, kreatívok előállítására, AI-alapú szövegjavaslatokra, leadfolyamatok követésére, hirdetési fiókok összekapcsolására, riportolásra, időzítésre és automatizálásokra. A rendszer minden funkciója nem feltétlenül aktív minden csomagban; a tesztfelületen bemutatott képesség nem minősül az éles rendszerre tett feltétlen garanciának.</w:t>
      </w:r>
    </w:p>
    <w:p>
      <w:pPr>
        <w:widowControl/>
      </w:pPr>
      <w:r>
        <w:t>1.2. A Megrendelő lehet saját felületet használó vállalkozás, irodai adminisztrátor vagy megbízott ügynökség. A külön megrendelt Worknova hirdetéskezelési megbízásra a szolgáltatási adatlapot és – ha kötöttek – az egyedi marketing-megbízási megállapodást is alkalmazni kell.</w:t>
      </w:r>
    </w:p>
    <w:p>
      <w:pPr>
        <w:widowControl/>
      </w:pPr>
      <w:r>
        <w:t>1.3. Sorrend: kötelező jogszabály → egyedileg megtárgyalt szerződés → elfogadott csomag- és kampányadatlap → a jelen Marketinggépezet ÁSZF → marketing szakmai mellékletek / DPA az adatfeldolgozási kérdésben elsőbbséggel → központi Worknova ÁSZF. Egyik feltétel sem jogosít jogellenes hirdetésre vagy jogellenes adatkezelésre.</w:t>
      </w:r>
    </w:p>
    <w:p>
      <w:pPr>
        <w:pStyle w:val="Heading1"/>
      </w:pPr>
      <w:r>
        <w:t>2. Kipróbálás, regisztráció és fizetős aktiválás</w:t>
      </w:r>
    </w:p>
    <w:p>
      <w:pPr>
        <w:widowControl/>
      </w:pPr>
      <w:r>
        <w:t>2.1. A nyilvánosan elérhető kipróbálható felület bemutatási célra szolgálhat. A demóban létrehozott kampányterv vagy „hirdetés” nem jelenti, hogy az valóban közzétételre került; élő hirdetésindítás csak a szükséges platformjogosultságokkal, költségkeret-jóváhagyással és a rendszer tényleges támogatásával történhet.</w:t>
      </w:r>
    </w:p>
    <w:p>
      <w:pPr>
        <w:widowControl/>
      </w:pPr>
      <w:r>
        <w:t>2.2. Az ingyenes/próba csomag adatkörét, időbeli, küldési, export- és kampánykorlátait a termékadatlap közli. Az ingyenes felületből fizetős szolgáltatásra kizárólag a díj, ciklus és esetleges automatikus megújulás előzetes megjelenítése és kifejezett elfogadása útján történhet váltás.</w:t>
      </w:r>
    </w:p>
    <w:p>
      <w:pPr>
        <w:widowControl/>
      </w:pPr>
      <w:r>
        <w:t>2.3. A regisztráló szavatolja, hogy az általa kezelt vállalkozás nevében jogosult eljárni; a megrendelő a kapcsolt alkalmazottak és alfelhasználók jogosultságainak kezeléséért saját ellenőrzési körében felel. A Worknova jogosult szükség esetén ellenőrizni a hirdetési vagy adminisztratív felhatalmazást.</w:t>
      </w:r>
    </w:p>
    <w:p>
      <w:pPr>
        <w:pStyle w:val="Heading1"/>
      </w:pPr>
      <w:r>
        <w:t>3. Külön kezelendő díjak és költségviselők</w:t>
      </w:r>
    </w:p>
    <w:p>
      <w:pPr>
        <w:widowControl/>
      </w:pPr>
      <w:r>
        <w:t>3.1. Négy eltérő költség lehet: (i) platform-hozzáférési díj, (ii) Worknova által végzett kampánykezelés vagy kreatív munka díja, (iii) közvetlen Meta/Google/TikTok vagy más médiaköltés, (iv) külső szolgáltatások – például SMS-, e-mailküldő, domén-, adatforrás- vagy AI API-díj. Az egyes tételek nem olvadnak össze attól, hogy egy képernyőn láthatók.</w:t>
      </w:r>
    </w:p>
    <w:p>
      <w:pPr>
        <w:widowControl/>
      </w:pPr>
      <w:r>
        <w:t>3.2. A médiaköltés alapértelmezetten nem része a Worknova munkadíjának; annak pontos összege, fizetője, pénzneme, platformja és adózása az elfogadott kampányadatlapon szerepel. A Worknova nem emelhet önállóan reklámkeretet a jóváhagyott felső limit fölé. A platform saját napi elszámolási ingadozásai és számlázási sajátosságai ettől külön kezelendők.</w:t>
      </w:r>
    </w:p>
    <w:p>
      <w:pPr>
        <w:widowControl/>
      </w:pPr>
      <w:r>
        <w:t>3.3. Havi vagy éves SaaS-előfizetés, egyszeri kampányépítés és folyamatos hirdetéskezelés egymástól eltérően mondható le. Díj csak az ügyfél által megismert konkrét megrendelés, szerződés és jogszerű teljesítés alapján esedékes. A nyilvános „-tól” ár nem jelenti, hogy minden ügyfél minden funkciót ezen az áron kap.</w:t>
      </w:r>
    </w:p>
    <w:p>
      <w:pPr>
        <w:pStyle w:val="Heading1"/>
      </w:pPr>
      <w:r>
        <w:t>4. Kampánymegrendelés és megbízási adatlap</w:t>
      </w:r>
    </w:p>
    <w:p>
      <w:pPr>
        <w:widowControl/>
      </w:pPr>
      <w:r>
        <w:t>4.1. Éles kampányhoz dokumentálni kell: hirdető jogi neve; kampánycél; megjelentetendő termék/szolgáltatás; platformok; célterület és célcsoport; kezdés és lezárás; teljes/napi költségkeret; fizetési tulajdonos; felelős jóváhagyó; kreatív és céloldal; leadfogadó CRM; jelentés gyakorisága; jóváhagyási folyamat; adatkezelési szerepek.</w:t>
      </w:r>
    </w:p>
    <w:p>
      <w:pPr>
        <w:widowControl/>
      </w:pPr>
      <w:r>
        <w:t>4.2. A Worknova csak a jóváhagyott kampányadatlap szerinti médiaköltést és beállításokat aktiválhatja. E-mailben vagy a felület naplózott jóváhagyásával engedélyezett lényeges változtatásokat a rendszer archiválja. Sürgős, biztonsági vagy jogsértési kockázat miatti leállítás a költési limit emelése nélkül alkalmazható.</w:t>
      </w:r>
    </w:p>
    <w:p>
      <w:pPr>
        <w:widowControl/>
      </w:pPr>
      <w:r>
        <w:t>4.3. Az ajánlatkérő adatlap elküldése önmagában nem azonos egy fizetési kötelezettséget kiváltó kampánymegrendeléssel, ha az ügyfél még csak személyes ajánlatot kér. A fizetős rendelésnél a megrendelő előtt a végösszeget és a fizetésre utaló feliratot egyértelműen meg kell jeleníteni.</w:t>
      </w:r>
    </w:p>
    <w:p>
      <w:pPr>
        <w:pStyle w:val="Heading1"/>
      </w:pPr>
      <w:r>
        <w:t>5. Hirdetési fiók, pixel, céloldal és eszköz tulajdona</w:t>
      </w:r>
    </w:p>
    <w:p>
      <w:pPr>
        <w:widowControl/>
      </w:pPr>
      <w:r>
        <w:t>5.1. A hirdetési fiók, Business Manager, konverziókövetés, domain, CRM, oldal és márka lehetőség szerint a Megrendelő saját tulajdonában vagy adminisztratív rendelkezése alatt marad. A Worknova csak szükséges, dokumentált és visszavonható szerepkörre jogosult. A platform által adott üzleti hozzáférés önmagában nem teszi a Worknovát az ügyfél adatai tulajdonosává.</w:t>
      </w:r>
    </w:p>
    <w:p>
      <w:pPr>
        <w:widowControl/>
      </w:pPr>
      <w:r>
        <w:t>5.2. Külön írásban jelölni kell, ha a kampány technikai okból Worknova kezelésű eszközből indul. Ebben az esetben előre rögzítendő az adat-, riport-, kreatív- és fiókátadás szabálya, a hordozhatóság technikai korlátja, valamint az ügyfél megbízásából felmerülő platformköltség.</w:t>
      </w:r>
    </w:p>
    <w:p>
      <w:pPr>
        <w:widowControl/>
      </w:pPr>
      <w:r>
        <w:t>5.3. A Megrendelő megfelelő felhatalmazás nélkül nem adhatja meg más vállalkozás hirdetési fiókjának hozzáférését; a Worknova jogosult kétség esetén az élő integrációt felfüggeszteni.</w:t>
      </w:r>
    </w:p>
    <w:p>
      <w:pPr>
        <w:pStyle w:val="Heading1"/>
      </w:pPr>
      <w:r>
        <w:t>6. Jogszabályszerű reklám, tartalom és jóváhagyás</w:t>
      </w:r>
    </w:p>
    <w:p>
      <w:pPr>
        <w:widowControl/>
      </w:pPr>
      <w:r>
        <w:t>6.1. A hirdető felel az általa értékesített termék vagy szolgáltatás jogszerűségéért, az általa adott állítások, árak, engedélyek és jogszavatosságok valóságáért. A Worknova felel a saját szerződéses szerkesztési, beállítási és gondossági vállalásaiért, és nyilvánvalóan jogellenes kampányt nem indíthat az ügyfél utasítására sem.</w:t>
      </w:r>
    </w:p>
    <w:p>
      <w:pPr>
        <w:widowControl/>
      </w:pPr>
      <w:r>
        <w:t>6.2. Szerzői jogi, védjegy-, arculat-, képmás- és modellengedély szükséges lehet; AI-val készült kép, hang vagy videó esetén megfelelő felhasználási jog és adott esetben jelölés ellenőrizendő. A platform reklámszabályait és az ágazati (pl. ingatlan, pénzügy, egészség, álláshirdetés) korlátokat az indítás előtt ellenőrizni kell.</w:t>
      </w:r>
    </w:p>
    <w:p>
      <w:pPr>
        <w:widowControl/>
      </w:pPr>
      <w:r>
        <w:t>6.3. A jóváhagyott kreatív közzététele előtt az ügyfél felelős képviselőjének a vállalt jóváhagyási szintet teljesítenie kell. A Worknova nem vállalhat bizonyítatlan bevétel-, kattintás-, konverziós vagy érdeklődőszám-garanciát.</w:t>
      </w:r>
    </w:p>
    <w:p>
      <w:pPr>
        <w:pStyle w:val="Heading1"/>
      </w:pPr>
      <w:r>
        <w:t>7. Leadek, CRM és adatfeldolgozás</w:t>
      </w:r>
    </w:p>
    <w:p>
      <w:pPr>
        <w:widowControl/>
      </w:pPr>
      <w:r>
        <w:t>7.1. A marketingkampány révén érkező természetes személyek adatainak kezelési célját és jogalapját főszabály szerint a Hirdető állapítja meg; a Worknova a kapott feladat szerint adatfeldolgozó lehet. A személyes adatok kezelésének jogcíme, tájékoztatása, hozzáférése, exportja, megőrzése és törlése szerepeljen a DPA és a kampányadatlap mellékletében.</w:t>
      </w:r>
    </w:p>
    <w:p>
      <w:pPr>
        <w:widowControl/>
      </w:pPr>
      <w:r>
        <w:t>7.2. A Worknova az ügyféltől származó leadlistát nem adhatja el, nem használhatja saját marketingcéljára külön jogszerű felhatalmazás nélkül, és nem használhatja más ügyfelei kampányaihoz. A leadekhez hozzáférő munkatársak és alvállalkozók jogosultságát a tényleges feladathoz szükségesre kell korlátozni.</w:t>
      </w:r>
    </w:p>
    <w:p>
      <w:pPr>
        <w:widowControl/>
      </w:pPr>
      <w:r>
        <w:t>7.3. A Meta/Google űrlapokból nyert adatok exportja és a céloldal tájékoztatási rendje a hirdető felelősségi körével összehangolandó; az adatkezelői/adatfeldolgozói szerepet nem lehet pusztán szerződéses címkével önkényesen átírni.</w:t>
      </w:r>
    </w:p>
    <w:p>
      <w:pPr>
        <w:pStyle w:val="Heading1"/>
      </w:pPr>
      <w:r>
        <w:t>8. E-mail marketing, SMS és automatikus megkeresés</w:t>
      </w:r>
    </w:p>
    <w:p>
      <w:pPr>
        <w:widowControl/>
      </w:pPr>
      <w:r>
        <w:t>8.1. Természetes személynek közvetlen elektronikus reklám küldése főszabály szerint előzetes, megfelelően igazolható, kifejezett hozzájárulás esetén megengedett. A címzettnek egyszerű és ingyenes visszavonást/lemondást kell biztosítani. Vásárolt, gyűjtött vagy engedély nélküli címjegyzékre alapozott tömeges küldést a felület vagy a Worknova visszautasíthat.</w:t>
      </w:r>
    </w:p>
    <w:p>
      <w:pPr>
        <w:widowControl/>
      </w:pPr>
      <w:r>
        <w:t>8.2. A kampányadatlap rögzíti a listák forrását, a feliratkozási bizonyíték megőrzését, a leiratkozási mechanizmust, a feketelista kezelését, az adatkezelőt és az esetleges külső küldőszolgáltatót. Az ügyfél a hírlevelek tartalmáért és címzettjei jogszerű kijelöléséért saját ellenőrzési körében felel; a Worknova a vállalt technikai szolgáltatás hibáiért továbbra is felel.</w:t>
      </w:r>
    </w:p>
    <w:p>
      <w:pPr>
        <w:widowControl/>
      </w:pPr>
      <w:r>
        <w:t>8.3. Az automatikus megkeresés és utánkövetés nem léphet túl a címzett által engedélyezett kommunikációs célon. Az „AI írta” körülmény nem mentesít sem a reklámjogi, sem az adatvédelmi kötelezettségek alól.</w:t>
      </w:r>
    </w:p>
    <w:p>
      <w:pPr>
        <w:pStyle w:val="Heading1"/>
      </w:pPr>
      <w:r>
        <w:t>9. Automatizmusok, AI és külső integrációk</w:t>
      </w:r>
    </w:p>
    <w:p>
      <w:pPr>
        <w:widowControl/>
      </w:pPr>
      <w:r>
        <w:t>9.1. A rendszer hirdetési platformokhoz, CRM-ekhez, postafiókokhoz, webanalitikához vagy más szolgáltatásokhoz kapcsolódhat. A harmadik fél elérhetősége, API-limitje, feltétele és algoritmusa a szolgáltatásra ténylegesen hatással lehet. A Worknova a saját integrációjának gondos kialakításáért és a dokumentált működésért felel.</w:t>
      </w:r>
    </w:p>
    <w:p>
      <w:pPr>
        <w:widowControl/>
      </w:pPr>
      <w:r>
        <w:t>9.2. AI-javaslatot a Megrendelő vagy a meghatalmazott menedzser a közzététel előtt ellenőriz; automatikus éles publikálás vagy költségnövelés csak külön megjelölt jóváhagyási modellben alkalmazható. A modell API-szolgáltatóját, adatkategóriáit, adatmegőrzését és külföldi adattovábbítását a kapcsolódó adatkezelési tájékoztató / DPA azonosítja.</w:t>
      </w:r>
    </w:p>
    <w:p>
      <w:pPr>
        <w:widowControl/>
      </w:pPr>
      <w:r>
        <w:t>9.3. Téves AI-szöveg, algoritmusváltozás vagy platformdöntés nem eredményez feltétlen kártérítési mentességet a Worknova saját felróható szerződésszegésére, de nem tesz automatikusan garantálttá semmilyen üzleti eredményt.</w:t>
      </w:r>
    </w:p>
    <w:p>
      <w:pPr>
        <w:pStyle w:val="Heading1"/>
      </w:pPr>
      <w:r>
        <w:t>10. Havi menedzsment, riportok és teljesítés</w:t>
      </w:r>
    </w:p>
    <w:p>
      <w:pPr>
        <w:widowControl/>
      </w:pPr>
      <w:r>
        <w:t>10.1. A külön megbízott marketingkezelés pontos deliverable-jeit – kampányok száma, kreatívok mennyisége, tesztelési gyakoriság, kezelési csatornák, riportok ideje, konzultációk, felülvizsgálatok – a külön megrendelőlap tartalmazza. A Worknova nem köteles korlátlan mennyiségű javítást, kreatívgyártást vagy stratégiai konzultációt biztosítani egy meghatározott havidíjért.</w:t>
      </w:r>
    </w:p>
    <w:p>
      <w:pPr>
        <w:widowControl/>
      </w:pPr>
      <w:r>
        <w:t>10.2. Eredménymérésnél külön kell közölni a platform által jelentett adatot, a ténylegesen megerősített leadet, valamint az ügyféltől független külső tényezőket. A teljesítés nem kizárólag az eladott termékek vagy lezárt szerződések számától függ, hacsak kifejezett, jogszerű sikerdíjas megállapodás ezt másként nem rögzíti.</w:t>
      </w:r>
    </w:p>
    <w:p>
      <w:pPr>
        <w:pStyle w:val="Heading1"/>
      </w:pPr>
      <w:r>
        <w:t>11. Előfizetés, lemondás, kampányleállítás és elszámolás</w:t>
      </w:r>
    </w:p>
    <w:p>
      <w:pPr>
        <w:widowControl/>
      </w:pPr>
      <w:r>
        <w:t>11.1. A felület SaaS-előfizetésének megújulását a szerződésben megadott csatornán lehet kikapcsolni. A hirdetéskezelési megbízás felmondása ettől külön történhet. A kampány azonnali leállításának kérése nem jelenti automatikusan a már ledolgozott menedzsment- vagy vissza nem téríthető médiaköltség visszatérítését; az elszámolás jogszabály és elfogadott szerződés szerint történik.</w:t>
      </w:r>
    </w:p>
    <w:p>
      <w:pPr>
        <w:widowControl/>
      </w:pPr>
      <w:r>
        <w:t>11.2. Bármilyen hűségidő, minimális futamidő vagy kilépési díj kizárólag akkor alkalmazható, ha azt a fizetős megrendelés előtt egyértelműen, az adott szolgáltatást megjelölve elfogadták. A Worknova a lemondás átvételét, a következő terhelés elmaradását és a fiók-/adatátadás folyamatát írásban visszaigazolja.</w:t>
      </w:r>
    </w:p>
    <w:p>
      <w:pPr>
        <w:widowControl/>
      </w:pPr>
      <w:r>
        <w:t>11.3. Lényeges, orvosolható szerződésszegésnél megfelelő írásos póthatáridő adható. Jogellenes hirdetés, feltört fiók vagy azonnali adatvédelmi kockázat esetén arányos hozzáféréskorlátozás és kampányleállítás lehetséges.</w:t>
      </w:r>
    </w:p>
    <w:p>
      <w:pPr>
        <w:pStyle w:val="Heading1"/>
      </w:pPr>
      <w:r>
        <w:t>12. Ügyféladatok és kreatívok átadása megszűnéskor</w:t>
      </w:r>
    </w:p>
    <w:p>
      <w:pPr>
        <w:widowControl/>
      </w:pPr>
      <w:r>
        <w:t>12.1. Megszűnéskor a Megrendelő rendelkezésére álló és jogszerűen átadható kampánytervek, Worknova által külön vállalt kreatívok, riportok, űrlapadatok és hozzáférések sorsa a szerződésben rögzített átadás-átvétel szerint alakul. Harmadik fél platformjának teljes technikai adatbázisa, hirdetési előzménye vagy licencelt kreatívja nem feltétlenül exportálható korlátlanul.</w:t>
      </w:r>
    </w:p>
    <w:p>
      <w:pPr>
        <w:widowControl/>
      </w:pPr>
      <w:r>
        <w:t>12.2. A megszűnés nem jogosít a hirdető leadjeinek visszatartására a díjvita puszta tényére hivatkozva, ha azok kiadása jogszabály alapján esedékes. Az adatmegőrzési és törlési időszakok a tényleges adatleltárból, adatfeldolgozói megállapodásból és az alkalmazandó jogból következnek.</w:t>
      </w:r>
    </w:p>
    <w:p>
      <w:pPr>
        <w:pStyle w:val="Heading1"/>
      </w:pPr>
      <w:r>
        <w:t>13. Felelősség, panasz és fogyasztói jogok</w:t>
      </w:r>
    </w:p>
    <w:p>
      <w:pPr>
        <w:widowControl/>
      </w:pPr>
      <w:r>
        <w:t>13.1. A Worknova a saját szerződéses kötelezettségeinek megszegéséért a magyar jog szerint felel. A platform vagy ügyfél oldalán felmerült, bizonyíthatóan Worknován kívüli akadályt a felelősség megítélésénél figyelembe kell venni. Nem zárhatók ki jogellenesen a szándékos károkozás, az életet, testi épséget, egészséget sértő szerződésszegés és a kötelező fogyasztói jogok.</w:t>
      </w:r>
    </w:p>
    <w:p>
      <w:pPr>
        <w:widowControl/>
      </w:pPr>
      <w:r>
        <w:t>13.2. Fogyasztói jogállás esetén az online fizetős szerződés előtt a 45/2014. Korm. rendelet szerinti információkat, jogszabály szerint megillető elállási/felmondási jogot és – ahol alkalmazandó – az online elállási funkciót biztosítani kell. Az általános üzleti felhasználás nem szünteti meg automatikusan a tényleges fogyasztói jogállás jogi vizsgálatát.</w:t>
      </w:r>
    </w:p>
    <w:p>
      <w:pPr>
        <w:widowControl/>
      </w:pPr>
      <w:r>
        <w:t>13.3. Panasz és felmondás címzettje a szerződéses kapcsolattartási e-mail. A magyar jog alkalmazandó az eltérést tiltó fogyasztóvédelmi rendelkezések sérelme nélkül; a felek elsőként írásban egyeztetnek.</w:t>
      </w:r>
    </w:p>
    <w:p>
      <w:pPr>
        <w:pStyle w:val="Heading1"/>
      </w:pPr>
      <w:r>
        <w:t>B. KAMPÁNY- ÉS ELŐFIZETÉSI ADATLAP – KITÖLTÉS NÉLKÜL NINCS ÉLES KÖLTÉS</w:t>
      </w:r>
    </w:p>
    <w:p>
      <w:pPr>
        <w:widowControl/>
      </w:pPr>
      <w:r>
        <w:t xml:space="preserve">Megrendelő: </w:t>
      </w:r>
      <w:r>
        <w:rPr>
          <w:b/>
          <w:color w:val="96432C"/>
        </w:rPr>
        <w:t>[[ ]]</w:t>
      </w:r>
      <w:r>
        <w:t xml:space="preserve">; Marketinggépezet csomag és felhasználói helyek: </w:t>
      </w:r>
      <w:r>
        <w:rPr>
          <w:b/>
          <w:color w:val="96432C"/>
        </w:rPr>
        <w:t>[[ ]]</w:t>
      </w:r>
      <w:r>
        <w:t xml:space="preserve">; próba/ingyenes/fizetős: </w:t>
      </w:r>
      <w:r>
        <w:rPr>
          <w:b/>
          <w:color w:val="96432C"/>
        </w:rPr>
        <w:t>[[ ]]</w:t>
      </w:r>
      <w:r>
        <w:t xml:space="preserve">; platformdíj: </w:t>
      </w:r>
      <w:r>
        <w:rPr>
          <w:b/>
          <w:color w:val="96432C"/>
        </w:rPr>
        <w:t>[[ ]]</w:t>
      </w:r>
      <w:r>
        <w:t xml:space="preserve">; menedzsmentdíj: </w:t>
      </w:r>
      <w:r>
        <w:rPr>
          <w:b/>
          <w:color w:val="96432C"/>
        </w:rPr>
        <w:t>[[ ]]</w:t>
      </w:r>
      <w:r>
        <w:t xml:space="preserve">; médiaköltés, napi és teljes maximum, fizető: </w:t>
      </w:r>
      <w:r>
        <w:rPr>
          <w:b/>
          <w:color w:val="96432C"/>
        </w:rPr>
        <w:t>[[ ]]</w:t>
      </w:r>
      <w:r>
        <w:t xml:space="preserve">; külső API/üzenetköltség: </w:t>
      </w:r>
      <w:r>
        <w:rPr>
          <w:b/>
          <w:color w:val="96432C"/>
        </w:rPr>
        <w:t>[[ ]]</w:t>
      </w:r>
      <w:r>
        <w:t xml:space="preserve">; kampánycsatornák és célterület: </w:t>
      </w:r>
      <w:r>
        <w:rPr>
          <w:b/>
          <w:color w:val="96432C"/>
        </w:rPr>
        <w:t>[[ ]]</w:t>
      </w:r>
      <w:r>
        <w:t xml:space="preserve">; fiók- és pixel-admin: </w:t>
      </w:r>
      <w:r>
        <w:rPr>
          <w:b/>
          <w:color w:val="96432C"/>
        </w:rPr>
        <w:t>[[ ]]</w:t>
      </w:r>
      <w:r>
        <w:t xml:space="preserve">; leadfogadó rendszer és adatkezelő: </w:t>
      </w:r>
      <w:r>
        <w:rPr>
          <w:b/>
          <w:color w:val="96432C"/>
        </w:rPr>
        <w:t>[[ ]]</w:t>
      </w:r>
      <w:r>
        <w:t xml:space="preserve">; kreatívok/riportok mennyisége: </w:t>
      </w:r>
      <w:r>
        <w:rPr>
          <w:b/>
          <w:color w:val="96432C"/>
        </w:rPr>
        <w:t>[[ ]]</w:t>
      </w:r>
      <w:r>
        <w:t xml:space="preserve">; indulás és futamidő: </w:t>
      </w:r>
      <w:r>
        <w:rPr>
          <w:b/>
          <w:color w:val="96432C"/>
        </w:rPr>
        <w:t>[[ ]]</w:t>
      </w:r>
      <w:r>
        <w:t xml:space="preserve">; megújulás és felmondás: </w:t>
      </w:r>
      <w:r>
        <w:rPr>
          <w:b/>
          <w:color w:val="96432C"/>
        </w:rPr>
        <w:t>[[ ]]</w:t>
      </w:r>
      <w:r>
        <w:t xml:space="preserve">; panasz/support: </w:t>
      </w:r>
      <w:r>
        <w:rPr>
          <w:b/>
          <w:color w:val="96432C"/>
        </w:rPr>
        <w:t>[[ ]]</w:t>
      </w:r>
      <w:r>
        <w:t xml:space="preserve">; ÁSZF és DPA verzió: </w:t>
      </w:r>
      <w:r>
        <w:rPr>
          <w:b/>
          <w:color w:val="96432C"/>
        </w:rPr>
        <w:t>[[ ]]</w:t>
      </w:r>
      <w:r>
        <w:t xml:space="preserve">; jóváhagyó neve, időbélyeg: </w:t>
      </w:r>
      <w:r>
        <w:rPr>
          <w:b/>
          <w:color w:val="96432C"/>
        </w:rPr>
        <w:t>[[ ]]</w:t>
      </w:r>
      <w:r>
        <w:t>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06" w:right="1276" w:bottom="1049" w:left="1332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/>
        <w:color w:val="576879"/>
        <w:sz w:val="14"/>
      </w:rPr>
      <w:t xml:space="preserve">WORKNOVA  •  3.0-T SZERZŐDÉSTERVEZET  |  2026.10.23.  |  </w:t>
    </w:r>
    <w:r>
      <w:rPr>
        <w:rFonts w:ascii="Noto Sans" w:hAnsi="Noto Sans"/>
        <w:color w:val="576879"/>
        <w:sz w:val="14"/>
      </w:rPr>
      <w:t xml:space="preserve">OLDAL </w:t>
    </w:r>
    <w:r>
      <w:rPr>
        <w:rFonts w:ascii="Noto Sans" w:hAnsi="Noto Sans"/>
      </w:rPr>
      <w:fldChar w:fldCharType="begin"/>
      <w:instrText xml:space="preserve">PAGE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color="D4E3E6"/>
      </w:pBdr>
    </w:pPr>
    <w:r>
      <w:rPr>
        <w:rFonts w:ascii="Noto Sans" w:hAnsi="Noto Sans"/>
        <w:b/>
        <w:color w:val="089792"/>
        <w:sz w:val="16"/>
      </w:rPr>
      <w:t>W O R K N O V A</w:t>
    </w:r>
    <w:r>
      <w:rPr>
        <w:sz w:val="15"/>
      </w:rPr>
      <w:t xml:space="preserve">   /   MARKETINGGÉPEZET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93" w:lineRule="auto"/>
    </w:pPr>
    <w:rPr>
      <w:rFonts w:ascii="Noto Sans" w:hAnsi="Noto Sans"/>
      <w:color w:val="13213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20"/>
      <w:outlineLvl w:val="0"/>
    </w:pPr>
    <w:rPr>
      <w:rFonts w:asciiTheme="majorHAnsi" w:eastAsiaTheme="majorEastAsia" w:hAnsiTheme="majorHAnsi" w:cstheme="majorBidi" w:ascii="Noto Sans" w:hAnsi="Noto Sans"/>
      <w:b/>
      <w:bCs/>
      <w:color w:val="132132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Noto Sans" w:hAnsi="Noto Sans"/>
      <w:b/>
      <w:bCs/>
      <w:color w:val="13213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MARKETINGGÉPEZET – ÁSZF 3.0-T</dc:title>
  <dc:subject>Worknova általános szerződési feltételek tervezet</dc:subject>
  <dc:creator>Worknova – szerződéstervezet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