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b/>
          <w:color w:val="089792"/>
          <w:sz w:val="20"/>
        </w:rPr>
        <w:t>WORKNOVA / SZERZŐDÉSES DOKUMENTÁCIÓ</w:t>
      </w:r>
    </w:p>
    <w:p>
      <w:pPr>
        <w:spacing w:before="500" w:after="260"/>
      </w:pPr>
      <w:r>
        <w:rPr>
          <w:rFonts w:ascii="Noto Sans" w:hAnsi="Noto Sans"/>
          <w:b/>
          <w:color w:val="132132"/>
          <w:sz w:val="56"/>
        </w:rPr>
        <w:t>WASILY</w:t>
      </w:r>
    </w:p>
    <w:p>
      <w:r>
        <w:rPr>
          <w:b/>
          <w:color w:val="089792"/>
          <w:sz w:val="28"/>
        </w:rPr>
        <w:t>ÁLTALÁNOS SZERZŐDÉSI FELTÉTELEK</w:t>
      </w:r>
    </w:p>
    <w:p>
      <w:r>
        <w:t>Mesterségesintelligencia-asszisztens</w:t>
      </w:r>
    </w:p>
    <w:p>
      <w:pPr>
        <w:spacing w:before="360" w:after="300"/>
      </w:pPr>
      <w:r>
        <w:rPr>
          <w:b/>
        </w:rPr>
        <w:t xml:space="preserve">HATÓKÖR  </w:t>
      </w:r>
      <w:r>
        <w:t>AI, licenc, API, adatkezelés, előfizetés</w:t>
      </w:r>
    </w:p>
    <w:tbl>
      <w:tblPr>
        <w:tblW w:type="auto" w:w="0"/>
        <w:tblLayout w:type="fixed"/>
        <w:tblLook w:firstColumn="1" w:firstRow="1" w:lastColumn="0" w:lastRow="0" w:noHBand="0" w:noVBand="1" w:val="04A0"/>
      </w:tblPr>
      <w:tblGrid>
        <w:gridCol w:w="1899"/>
        <w:gridCol w:w="6123"/>
      </w:tblGrid>
      <w:tr>
        <w:tc>
          <w:tcPr>
            <w:tcW w:type="dxa" w:w="4816"/>
            <w:vAlign w:val="center"/>
            <w:shd w:fill="F1F6F7"/>
          </w:tcPr>
          <w:p>
            <w:pPr>
              <w:spacing w:after="100" w:before="100"/>
            </w:pPr>
            <w:r>
              <w:rPr>
                <w:b/>
                <w:color w:val="576879"/>
                <w:sz w:val="17"/>
              </w:rPr>
              <w:t>Szolgáltató</w:t>
            </w:r>
          </w:p>
        </w:tc>
        <w:tc>
          <w:tcPr>
            <w:tcW w:type="dxa" w:w="4816"/>
            <w:vAlign w:val="center"/>
            <w:shd w:fill="F1F6F7"/>
          </w:tcPr>
          <w:p>
            <w:pPr>
              <w:spacing w:after="100" w:before="100"/>
            </w:pPr>
            <w:r>
              <w:rPr>
                <w:b w:val="0"/>
                <w:color w:val="132132"/>
                <w:sz w:val="17"/>
              </w:rPr>
              <w:t>Gáspár Olivér egyéni vállalkozó (Worknova)</w:t>
            </w:r>
          </w:p>
        </w:tc>
      </w:tr>
      <w:tr>
        <w:tc>
          <w:tcPr>
            <w:tcW w:type="dxa" w:w="4816"/>
            <w:vAlign w:val="center"/>
          </w:tcPr>
          <w:p>
            <w:pPr>
              <w:spacing w:after="100" w:before="100"/>
            </w:pPr>
            <w:r>
              <w:rPr>
                <w:b/>
                <w:color w:val="576879"/>
                <w:sz w:val="17"/>
              </w:rPr>
              <w:t>Verzió</w:t>
            </w:r>
          </w:p>
        </w:tc>
        <w:tc>
          <w:tcPr>
            <w:tcW w:type="dxa" w:w="4816"/>
            <w:vAlign w:val="center"/>
          </w:tcPr>
          <w:p>
            <w:pPr>
              <w:spacing w:after="100" w:before="100"/>
            </w:pPr>
            <w:r>
              <w:rPr>
                <w:b w:val="0"/>
                <w:color w:val="132132"/>
                <w:sz w:val="17"/>
              </w:rPr>
              <w:t>3.0-T  ·  2026. október 23.</w:t>
            </w:r>
          </w:p>
        </w:tc>
      </w:tr>
      <w:tr>
        <w:tc>
          <w:tcPr>
            <w:tcW w:type="dxa" w:w="4816"/>
            <w:vAlign w:val="center"/>
            <w:shd w:fill="F1F6F7"/>
          </w:tcPr>
          <w:p>
            <w:pPr>
              <w:spacing w:after="100" w:before="100"/>
            </w:pPr>
            <w:r>
              <w:rPr>
                <w:b/>
                <w:color w:val="576879"/>
                <w:sz w:val="17"/>
              </w:rPr>
              <w:t>Státusz</w:t>
            </w:r>
          </w:p>
        </w:tc>
        <w:tc>
          <w:tcPr>
            <w:tcW w:type="dxa" w:w="4816"/>
            <w:vAlign w:val="center"/>
            <w:shd w:fill="F1F6F7"/>
          </w:tcPr>
          <w:p>
            <w:pPr>
              <w:spacing w:after="100" w:before="100"/>
            </w:pPr>
            <w:r>
              <w:rPr>
                <w:b w:val="0"/>
                <w:color w:val="132132"/>
                <w:sz w:val="17"/>
              </w:rPr>
              <w:t>Jogi és üzleti véglegesítést igénylő tervezet</w:t>
            </w:r>
          </w:p>
        </w:tc>
      </w:tr>
    </w:tbl>
    <w:p>
      <w:pPr>
        <w:spacing w:before="500"/>
      </w:pPr>
      <w:r>
        <w:rPr>
          <w:b/>
          <w:color w:val="96432C"/>
          <w:sz w:val="20"/>
        </w:rPr>
        <w:t>FONTOS – KÖZZÉTÉTEL ELŐTT</w:t>
      </w:r>
    </w:p>
    <w:p>
      <w:pPr>
        <w:spacing w:after="0"/>
      </w:pPr>
      <w:r>
        <w:t>A szolgáltató képen megadott vállalkozói azonosító adatai beillesztve. A tényleges díjak, a fizetési/lemondási folyamat, az adatkezelés, a nyilvántartó hatóság adata (ahol szerepel), az elérhetőségek és a műszaki vállalások ellenőrzése még szükséges. A dokumentum jogi ellenőrzésig és a fennmaradó hiányok pótlásáig nem tekinthető végleges, publikálható ÁSZF-nek.</w:t>
      </w:r>
    </w:p>
    <w:p>
      <w:r/>
    </w:p>
    <w:p>
      <w:pPr>
        <w:widowControl/>
      </w:pPr>
      <w:r>
        <w:rPr>
          <w:b/>
          <w:color w:val="132132"/>
        </w:rPr>
        <w:t>3.1 | JOGI ÉS ÜZLETI VÉGLEGESÍTÉST IGÉNYLŐ TERVEZET | 2026. október 23.</w:t>
      </w:r>
    </w:p>
    <w:p>
      <w:pPr>
        <w:widowControl/>
      </w:pPr>
      <w:r>
        <w:rPr>
          <w:b/>
          <w:color w:val="132132"/>
        </w:rPr>
        <w:t>Szolgáltató:</w:t>
      </w:r>
      <w:r>
        <w:t xml:space="preserve"> Gáspár Olivér egyéni vállalkozó, Worknova márkanév alatt. Székhely: </w:t>
      </w:r>
      <w:r>
        <w:rPr>
          <w:b/>
          <w:color w:val="132132"/>
        </w:rPr>
        <w:t>1108 Budapest, Tavas utca 6., 1. emelet 6. ajtó</w:t>
      </w:r>
      <w:r>
        <w:t xml:space="preserve">; adószám: </w:t>
      </w:r>
      <w:r>
        <w:rPr>
          <w:b/>
          <w:color w:val="132132"/>
        </w:rPr>
        <w:t>59167488-1-42</w:t>
      </w:r>
      <w:r>
        <w:t xml:space="preserve">; nyilvántartási szám: </w:t>
      </w:r>
      <w:r>
        <w:rPr>
          <w:b/>
          <w:color w:val="132132"/>
        </w:rPr>
        <w:t>57249641</w:t>
      </w:r>
      <w:r>
        <w:t xml:space="preserve">; közösségi adószám: HU59167488; szerződéses e-mail: </w:t>
      </w:r>
      <w:r>
        <w:rPr>
          <w:b/>
          <w:color w:val="132132"/>
        </w:rPr>
        <w:t>info@worknova.hu</w:t>
      </w:r>
      <w:r>
        <w:t>; web: https://worknova.hu. A névazonosság és az esetleges kapcsolódó márkanév használata nem jelenti azt, hogy bármely más vállalkozás szerződő fél.</w:t>
      </w:r>
    </w:p>
    <w:p>
      <w:pPr>
        <w:widowControl/>
      </w:pPr>
      <w:r>
        <w:rPr>
          <w:b/>
          <w:color w:val="132132"/>
        </w:rPr>
        <w:t>Alkalmazás:</w:t>
      </w:r>
      <w:r>
        <w:t xml:space="preserve"> Ez az ÁSZF a Worknova által szolgáltatott Wasily asztali, webes vagy mobil elérésű AI-asszisztens használatát szabályozza. A nyilvános ajánlatban nem szereplő képesség, csomag, platform vagy integráció csak külön, elfogadott megrendelés esetén része a szolgáltatásnak.</w:t>
      </w:r>
    </w:p>
    <w:p>
      <w:pPr>
        <w:pStyle w:val="Heading1"/>
      </w:pPr>
      <w:r>
        <w:t>1. Hatály, szerződéses dokumentumok és fogalmak</w:t>
      </w:r>
    </w:p>
    <w:p>
      <w:pPr>
        <w:widowControl/>
      </w:pPr>
      <w:r>
        <w:t>1.1. A Wasily AI API-kat és – a ténylegesen aktivált verziótól függően – kiegészítő eszközöket, memóriát, helyi vagy felhős tárolást, fájlműveleteket, integrációkat használó digitális szolgáltatás. Az alapfunkciók és az aktív képességek kizárólag a csomagleírásból, az alkalmazásból és az elfogadott megrendelőlapból állapíthatók meg; jelen irat önmagában sem önálló működési jogosultságot, sem meghatározott modell-hozzáférést nem ígér.</w:t>
      </w:r>
    </w:p>
    <w:p>
      <w:pPr>
        <w:widowControl/>
      </w:pPr>
      <w:r>
        <w:t>1.2. Megrendelő a szerződést elfogadó magánszemély vagy szervezet; Felhasználó a hozzáféréssel ténylegesen dolgozó személy; Előfizetés a fizetős funkciókra vállalt, meghatározott díjas jogosultság; Kredit a csomag által esetleg biztosított felhasználási egység; Ügyféltartalom a bevitt szöveg, dokumentum, prompt, kép és más adat; Kimenet az AI által előállított tartalom.</w:t>
      </w:r>
    </w:p>
    <w:p>
      <w:pPr>
        <w:widowControl/>
      </w:pPr>
      <w:r>
        <w:t>1.3. A kapcsolódó dokumentumok: Worknova központi ÁSZF; Wasily termék- és díjjegyzék; adatkezelési tájékoztató; szükség esetén GDPR szerinti adatfeldolgozói megállapodás (DPA); külön megrendelt integrációs vagy vállalati SLA. Jogszabályi kötelező rendelkezés elsőbbséget élvez; a konkrétan és egyedileg elfogadott megrendelőlap a díjaknál és vállalt jellemzőknél, jelen termékfeltételek a Wasily-specifikus kérdésekben, az adatfeldolgozási DPA az adatfeldolgozás tárgyában, a központi ÁSZF pedig a fennmaradó ügyekben irányadó.</w:t>
      </w:r>
    </w:p>
    <w:p>
      <w:pPr>
        <w:pStyle w:val="Heading1"/>
      </w:pPr>
      <w:r>
        <w:t>2. Regisztráció, alkalmasság és szerződés létrejötte</w:t>
      </w:r>
    </w:p>
    <w:p>
      <w:pPr>
        <w:widowControl/>
      </w:pPr>
      <w:r>
        <w:t>2.1. A Wasily elérése történhet regisztrációval, meghívással, letöltéssel vagy webes bejelentkezéssel. Fizetési kötelezettség kizárólag világosan megjelölt fizetős rendelés, elfogadott ajánlat vagy jogszerűen aktivált előfizetés révén keletkezik. Az ingyenes regisztráció vagy a szoftver letöltése önmagában nem minősül fizetős megrendelésnek.</w:t>
      </w:r>
    </w:p>
    <w:p>
      <w:pPr>
        <w:widowControl/>
      </w:pPr>
      <w:r>
        <w:t>2.2. A regisztráló köteles pontos adatokkal azonosítani magát, valós szervezeti felhatalmazással rendelkezni, és hozzáféréseit védeni. A szervezeti adminisztrátor az általa engedélyezett felhasználók jogosultságait kezeli; a szervezet csak az általa ténylegesen vállalt díjakat fizeti.</w:t>
      </w:r>
    </w:p>
    <w:p>
      <w:pPr>
        <w:widowControl/>
      </w:pPr>
      <w:r>
        <w:t>2.3. Online megrendelésnél a fizetési kötelezettséget és az összes rendszeres díjat egyértelműen, közvetlenül a végső jóváhagyás előtt kell feltüntetni. A visszaigazolás tartalmazza a csomagot, összeget, ciklust, választott megújulási beállítást, elállási tájékoztatást – ahol alkalmazandó – és a feltételek verzióját.</w:t>
      </w:r>
    </w:p>
    <w:p>
      <w:pPr>
        <w:pStyle w:val="Heading1"/>
      </w:pPr>
      <w:r>
        <w:t>3. Az ingyenes és fizetős használat elhatárolása</w:t>
      </w:r>
    </w:p>
    <w:p>
      <w:pPr>
        <w:widowControl/>
      </w:pPr>
      <w:r>
        <w:t>3.1. Az ingyenes, próba- és fizetős verzió elérhetőségét, korlátját, lejáratát, modelljét és kreditszabályait a naprakész termékadatlap határozza meg. A Worknova nem terhelhet díjat pusztán azért, mert az ingyenes kipróbálási idő véget ért, ha a fizetős megújulásról nem áll rendelkezésre megfelelő, előzetes és kifejezett elfogadás.</w:t>
      </w:r>
    </w:p>
    <w:p>
      <w:pPr>
        <w:widowControl/>
      </w:pPr>
      <w:r>
        <w:t>3.2. Előfizetésenként külön szükséges feltüntetni: havi/éves díj és adó, elszámolási ciklus, AI-üzenet- vagy tokencsomag, kreditek esetleges lejárata, modell-hozzáférés, tárolási korlát, felhasználói helyek, engedélyezett API-műveletek, külön díjas bővítmények, keretkimerüléskor követett eljárás.</w:t>
      </w:r>
    </w:p>
    <w:p>
      <w:pPr>
        <w:widowControl/>
      </w:pPr>
      <w:r>
        <w:t>3.3. A csomagkereten felüli, külön díjas használathoz vagy automatikus utóterheléshez előre megadott ár és egyértelmű ügyfél-felhatalmazás kell. Enélkül a rendszer a fizetős többlethasználatot korlátozhatja vagy új jóváhagyást kérhet, de ismeretlen összegű számlát utólag nem állíthat ki.</w:t>
      </w:r>
    </w:p>
    <w:p>
      <w:pPr>
        <w:pStyle w:val="Heading1"/>
      </w:pPr>
      <w:r>
        <w:t>4. Díjfizetés, számlázás és megújulás</w:t>
      </w:r>
    </w:p>
    <w:p>
      <w:pPr>
        <w:widowControl/>
      </w:pPr>
      <w:r>
        <w:t>4.1. A fizetési mód és számlázási fordulónap a megrendelőlap része. A szolgáltatói díj mellett külön felmerülő harmadik fél/API-költség csak akkor számítható fel, ha annak számítási módja és fizetője a rendelés előtt ismert. A fizetési szolgáltató önálló feltételei az általa végzett tranzakcióra érvényesek.</w:t>
      </w:r>
    </w:p>
    <w:p>
      <w:pPr>
        <w:widowControl/>
      </w:pPr>
      <w:r>
        <w:t>4.2. Az előfizetés csak akkor újul meg automatikusan, ha ez a megrendelés előtt egyértelműen szerepelt és a Megrendelő elfogadta. Az egyedi ajánlatban nem azonosítható megújulás nem vezethet hallgatólagos új díjköveteléshez. Az áremelés nem alkalmazható visszamenőleg, és nem írhatja felül a már kifizetett időszakot; a lényeges módosítást megfelelő előzetes értesítés követi.</w:t>
      </w:r>
    </w:p>
    <w:p>
      <w:pPr>
        <w:widowControl/>
      </w:pPr>
      <w:r>
        <w:t>4.3. Sikertelen fizetés esetén a Worknova értesíti a fizetőt és ésszerű rendezési lehetőséget adhat. A korlátozás nem jelentheti automatikusan az ügyféltartalom azonnali, végleges törlését. Jogszabály szerinti szavatossági, elállási és visszatérítési jogok érintetlenek.</w:t>
      </w:r>
    </w:p>
    <w:p>
      <w:pPr>
        <w:pStyle w:val="Heading1"/>
      </w:pPr>
      <w:r>
        <w:t>5. Lemondás és szerződésmegszűnés</w:t>
      </w:r>
    </w:p>
    <w:p>
      <w:pPr>
        <w:widowControl/>
      </w:pPr>
      <w:r>
        <w:t>5.1. A megújulás kikapcsolása megakadályozza a következő fizetős ciklust; a már megfizetett időszak szolgáltatásai főszabály szerint addig használhatók, amíg a szerződés más okból korábban jogszerűen meg nem szűnik. A lemondás történhet az aktív fiókban rendelkezésre álló működő funkcióval vagy a szerződéses kapcsolattartási e-mailre küldött, az előfizetőt azonosíthatóan megjelölő nyilatkozattal.</w:t>
      </w:r>
    </w:p>
    <w:p>
      <w:pPr>
        <w:widowControl/>
      </w:pPr>
      <w:r>
        <w:t>5.2. A Worknova írásban visszaigazolja a lemondás beérkezését, a díjfizetési és hozzáférési fordulónapot, valamint az export és fiókmegszüntetés külön lépéseit. Fogyasztót a törvény szerint megillető elállás és más kógens jog külön is gyakorolható; nem írható felül „nem visszatéríthető” általános kikötéssel.</w:t>
      </w:r>
    </w:p>
    <w:p>
      <w:pPr>
        <w:widowControl/>
      </w:pPr>
      <w:r>
        <w:t>5.3. Lényeges, orvosolható szerződésszegésnél a fél írásos felszólítást és megfelelő póthatáridőt kap. Biztonsági incidens, jogosulatlan hozzáférés vagy jogellenes automatizált művelet közvetlen veszélyénél a Worknova a szükséges mértékig azonnal korlátozhat. A korlátozás alapját utólag dokumentálja; a fennálló adatvisszaadási kötelezettségek nem szűnnek meg automatikusan.</w:t>
      </w:r>
    </w:p>
    <w:p>
      <w:pPr>
        <w:pStyle w:val="Heading1"/>
      </w:pPr>
      <w:r>
        <w:t>6. Szoftverlicenc és felhasználói tilalmak</w:t>
      </w:r>
    </w:p>
    <w:p>
      <w:pPr>
        <w:widowControl/>
      </w:pPr>
      <w:r>
        <w:t>6.1. A felhasználó a szerződés fennállása alatt nem kizárólagos, nem átruházható, a dokumentált telepítési és használati célra korlátozott hozzáférést kap. Nem szerez tulajdonjogot a programhoz, modellekhez, márkanevekhez vagy forráskódhoz. Harmadik fél licencei változatlanul irányadók.</w:t>
      </w:r>
    </w:p>
    <w:p>
      <w:pPr>
        <w:widowControl/>
      </w:pPr>
      <w:r>
        <w:t>6.2. Tilos különösen a mások adatainak jogosulatlan megszerzése, személyes adatok engedély nélküli kigyűjtése, rosszindulatú program futtatása, hozzáférés megkerülése, jogosulatlan tömeges adatlekérés és a platform korlátainak kijátszása. Az interoperabilitás érdekében jogszabály által kifejezetten megengedett cselekményeket a tiltás nem korlátozza.</w:t>
      </w:r>
    </w:p>
    <w:p>
      <w:pPr>
        <w:widowControl/>
      </w:pPr>
      <w:r>
        <w:t>6.3. A felhasználó felel az általa jogosított eszközműveletekért, promptokért, küldésekért és publikálásért a saját ellenőrzési körében. A Worknova saját hibás végrehajtásáért fennálló jogszerű felelősségét ez nem szünteti meg.</w:t>
      </w:r>
    </w:p>
    <w:p>
      <w:pPr>
        <w:pStyle w:val="Heading1"/>
      </w:pPr>
      <w:r>
        <w:t>7. AI-kimenetek, tévedések és nagy kockázatú alkalmazások</w:t>
      </w:r>
    </w:p>
    <w:p>
      <w:pPr>
        <w:widowControl/>
      </w:pPr>
      <w:r>
        <w:t>7.1. A Wasily valószínűségi alapú szöveget, kódot, elemzést vagy más tartalmat állíthat elő; az eredmény pontatlan, elavult, hiányos vagy harmadik személy jogát sértő lehet. Az ügyfélnek a fontos üzleti, jogi, egészségügyi, pénzügyi és személyeket érdemben érintő következmények előtt emberi ellenőrzést kell alkalmaznia.</w:t>
      </w:r>
    </w:p>
    <w:p>
      <w:pPr>
        <w:widowControl/>
      </w:pPr>
      <w:r>
        <w:t>7.2. A Wasily nem helyettesít engedélyköteles szakmai tevékenységet és nem használható fel önálló, emberi kontroll nélküli, joghatással vagy hasonlóan jelentős hatással járó döntéshez, amíg annak jogi megfelelősége és kockázati kezelése nincs igazolva.</w:t>
      </w:r>
    </w:p>
    <w:p>
      <w:pPr>
        <w:widowControl/>
      </w:pPr>
      <w:r>
        <w:t>7.3. Az AI által generált tartalomra a felhasználó a szükséges szerződéses és jogszabályi korlátok között jogosultságot kaphat, de a Worknova nem ígér kizárólagosságot, eredetiséget vagy feltétlen szerzői jogi védelmet. Az API-modell szolgáltatójának szerződéses szabályai szintén meghatározók lehetnek.</w:t>
      </w:r>
    </w:p>
    <w:p>
      <w:pPr>
        <w:pStyle w:val="Heading1"/>
      </w:pPr>
      <w:r>
        <w:t>8. Eszközök, fájlok, automatizált műveletek és jóváhagyás</w:t>
      </w:r>
    </w:p>
    <w:p>
      <w:pPr>
        <w:widowControl/>
      </w:pPr>
      <w:r>
        <w:t>8.1. A Wasily egyes kiadásai kapcsolódhatnak fájlokhoz, levelezéshez, naptárhoz, fejlesztői rendszerekhez vagy más szolgáltatásokhoz. Minden konkrét összeköttetés csak a felhasználó vagy a szervezet megfelelő felhatalmazása után aktiválható. A rendszer kizárólag az adott integrációhoz szükséges hatókörű jogosultságot kérheti.</w:t>
      </w:r>
    </w:p>
    <w:p>
      <w:pPr>
        <w:widowControl/>
      </w:pPr>
      <w:r>
        <w:t>8.2. Külső személynek küldött üzenetek, pénzügyi műveletek, törlés, nyilvános publikálás, hirdetési költés és éles rendszer módosítása esetén az előre közölt jogosultsági és jóváhagyási modellt kell követni. Ha a kézi jóváhagyás nem támogatott, az ügyfelet erről a beállítás előtt tájékoztatni kell; nagy kockázatú művelet a szükséges kontroll nélkül nem aktiválható.</w:t>
      </w:r>
    </w:p>
    <w:p>
      <w:pPr>
        <w:widowControl/>
      </w:pPr>
      <w:r>
        <w:t>8.3. Továbbított tartalommal a külső szolgáltató is érintett lehet. Az integráció megszüntetése után a külső szolgáltatónál keletkezett adatokat annak saját megőrzési és törlési feltételei szabályozzák; a Worknova a saját ellenőrzési körén belüli műveletekről és korlátokról tájékoztat.</w:t>
      </w:r>
    </w:p>
    <w:p>
      <w:pPr>
        <w:pStyle w:val="Heading1"/>
      </w:pPr>
      <w:r>
        <w:t>9. Adatvédelem, modellek és memória</w:t>
      </w:r>
    </w:p>
    <w:p>
      <w:pPr>
        <w:widowControl/>
      </w:pPr>
      <w:r>
        <w:t>9.1. A Worknova saját fiók-, számlázási és ügyfélszolgálati adatok tekintetében adatkezelő. Amikor vállalati ügyfél megbízásából annak felhatalmazott utasítására személyes adatot dolgoz fel, adatfeldolgozó lehet, amelyhez külön DPA és adatfeldolgozási adatlap szükséges.</w:t>
      </w:r>
    </w:p>
    <w:p>
      <w:pPr>
        <w:widowControl/>
      </w:pPr>
      <w:r>
        <w:t>9.2. A Wasily felhős AI API-t használhat. Az adatkezelési tájékoztatóban vagy a vállalati DPA mellékletében meg kell nevezni a tényleges modell-/API-szolgáltatókat, az adatfeldolgozás országait, a megőrzési időket, a modell-tanításra vonatkozó beállításokat és a harmadik országbeli adattovábbítás jogalapját. E tények ellenőrzéséig „minden adat Magyarországon marad”, „soha nem tanul az ügyféladatból” típusú állítás nem tehető.</w:t>
      </w:r>
    </w:p>
    <w:p>
      <w:pPr>
        <w:widowControl/>
      </w:pPr>
      <w:r>
        <w:t>9.3. A beszélgetésmemória, fájlindexek, naplók és háttérmentések célját, megőrzését, törlését és exportálhatóságát a tényleges termékleírás tartalmazza. Az ügyféltartalom nem használható a Worknova más ügyfelének marketingjére vagy saját modell tanítására külön jogalap vagy megfelelő utasítás nélkül.</w:t>
      </w:r>
    </w:p>
    <w:p>
      <w:pPr>
        <w:pStyle w:val="Heading1"/>
      </w:pPr>
      <w:r>
        <w:t>10. Fiókbiztonság, támogatás, rendelkezésre állás</w:t>
      </w:r>
    </w:p>
    <w:p>
      <w:pPr>
        <w:widowControl/>
      </w:pPr>
      <w:r>
        <w:t>10.1. A Worknova kockázatarányos technikai és szervezési intézkedéseket alkalmaz; a felhasználónak biztonságos hitelesítést és naprakész kliensverziót kell használnia. Sebezhetőség bejelentése és jogosulatlan hozzáférés gyanúja az ügyfélszolgálati csatornán jelezhető.</w:t>
      </w:r>
    </w:p>
    <w:p>
      <w:pPr>
        <w:widowControl/>
      </w:pPr>
      <w:r>
        <w:t>10.2. Konkrét 24/7 támogatás, üzemidő, mentési intervallum vagy helyreállítási cél csak akkor vállalt, ha külön termékadatlap/SLA tartalmazza mérési móddal együtt. Tervezett karbantartásról lehetőség szerint előzetesen tájékoztatást adunk. Külső API-szolgáltató működése befolyásolhatja az elérhetőséget.</w:t>
      </w:r>
    </w:p>
    <w:p>
      <w:pPr>
        <w:widowControl/>
      </w:pPr>
      <w:r>
        <w:t>10.3. A Worknova nem mentesül automatikusan saját hibájáért azért, mert a szolgáltatás külső modellt vagy infrastruktúrát vesz igénybe. Fogyasztói és egyéb kógens jogok a harmadik fél használatától függetlenül megilletik az érintettet.</w:t>
      </w:r>
    </w:p>
    <w:p>
      <w:pPr>
        <w:pStyle w:val="Heading1"/>
      </w:pPr>
      <w:r>
        <w:t>11. Adatvisszaadás, export és törlés</w:t>
      </w:r>
    </w:p>
    <w:p>
      <w:pPr>
        <w:widowControl/>
      </w:pPr>
      <w:r>
        <w:t>11.1. Az ügyfél saját beviteli adatainak és a hozzá kapcsolódó, átadható kimeneteinek visszaadásáról a termék adatportabilitási leírása rendelkezik. Az exportált állományok körét, formátumát és azonosítási folyamatát a Worknova pontosítja; a más fél szellemi tulajdonát vagy más felhasználó adatait az export nem sértheti.</w:t>
      </w:r>
    </w:p>
    <w:p>
      <w:pPr>
        <w:widowControl/>
      </w:pPr>
      <w:r>
        <w:t>11.2. A törlési kérés, a fizetős előfizetés lemondása és a fiók lezárása eltérő joghatású. Bizonyos számlázási, biztonsági vagy jogi megőrzési kötelezettségek miatt egyes adatok nem törölhetők azonnal, de célhoz kötötten és elkülönítetten kezelendők. Felhőalapú adatfeldolgozási szolgáltatásnál az alkalmazandó EU Data Act előírásai is irányadók, amennyiben a Wasily az adott részük tárgyi hatálya alá tartozik.</w:t>
      </w:r>
    </w:p>
    <w:p>
      <w:pPr>
        <w:pStyle w:val="Heading1"/>
      </w:pPr>
      <w:r>
        <w:t>12. ÁSZF-módosítás, felelősség és fogyasztói jogok</w:t>
      </w:r>
    </w:p>
    <w:p>
      <w:pPr>
        <w:widowControl/>
      </w:pPr>
      <w:r>
        <w:t>12.1. Lényeges funkció- vagy díjmódosítást a Worknova előre, dokumentált módon közöl. Fennálló határozott idejű szerződésben nem válik automatikusan kötelezővé egy új árlista. Amennyiben a módosítás jogszerűen alkalmazható, de az ügyfelet hátrányosan érinti, a szerződés vagy a kötelező jog szerint biztosított megszüntetési lehetőségekről egyértelmű tájékoztatást kap.</w:t>
      </w:r>
    </w:p>
    <w:p>
      <w:pPr>
        <w:widowControl/>
      </w:pPr>
      <w:r>
        <w:t>12.2. A felek a magyar jog szabályai szerint felelnek a bizonyított szerződésszegésből eredő károkért. Szándékos károkozásra, valamint az életet, testi épséget és egészséget sértő szerződésszegésre vonatkozó felelősség, illetve kógens fogyasztói jogok jogellenesen nem zárhatók ki. B2B felelősségmaximum kizárólag egyedileg és jogszerűen megállapított feltételekkel alkalmazható.</w:t>
      </w:r>
    </w:p>
    <w:p>
      <w:pPr>
        <w:widowControl/>
      </w:pPr>
      <w:r>
        <w:t>12.3. Fogyasztókat a 45/2014. (II. 26.) Korm. rendelet szerinti távollévők közötti szerződések esetén megfelelő elállási/felmondási tájékoztatás, szükség szerint online elállási funkció, visszaigazolás és jogszabály szerinti elszámolás illeti meg. A digitális szolgáltatás korai teljesítésének megkezdése és az elállási jog esetleges elvesztése nem vélelmezhető automatikusan a letöltésből.</w:t>
      </w:r>
    </w:p>
    <w:p>
      <w:pPr>
        <w:pStyle w:val="Heading1"/>
      </w:pPr>
      <w:r>
        <w:t>13. Panasz és jogviták</w:t>
      </w:r>
    </w:p>
    <w:p>
      <w:pPr>
        <w:widowControl/>
      </w:pPr>
      <w:r>
        <w:t>13.1. Panasz az azonosított szerződéses kapcsolattartási címre küldhető. A Worknova a fogyasztói panaszokat a jogszabály szerinti határidőben és módon intézi, szükség esetén a békéltető testületi, hatósági és bírósági lehetőségekről megfelelő tájékoztatást ad.</w:t>
      </w:r>
    </w:p>
    <w:p>
      <w:pPr>
        <w:widowControl/>
      </w:pPr>
      <w:r>
        <w:t>13.2. A jogviszonyra a magyar jog irányadó, a kötelező fogyasztóvédelmi és nemzetközi magánjogi rendelkezések sérelme nélkül. A jelen ÁSZF bármely pontjának érvénytelensége nem teszi automatikusan érvénytelenné a többi rendelkezést.</w:t>
      </w:r>
    </w:p>
    <w:p>
      <w:pPr>
        <w:pStyle w:val="Heading1"/>
      </w:pPr>
      <w:r>
        <w:t>A. MEGRENDELŐLAP – AZ ÁSZF SZERZŐDÉSES MELLÉKLETE</w:t>
      </w:r>
    </w:p>
    <w:p>
      <w:pPr>
        <w:widowControl/>
      </w:pPr>
      <w:r>
        <w:t xml:space="preserve">Szerződő fél neve és típusa: </w:t>
      </w:r>
      <w:r>
        <w:rPr>
          <w:b/>
          <w:color w:val="96432C"/>
        </w:rPr>
        <w:t>[[ ]]</w:t>
      </w:r>
      <w:r>
        <w:t xml:space="preserve">; csomag: </w:t>
      </w:r>
      <w:r>
        <w:rPr>
          <w:b/>
          <w:color w:val="96432C"/>
        </w:rPr>
        <w:t>[[ ]]</w:t>
      </w:r>
      <w:r>
        <w:t xml:space="preserve">; aktivált platformok: </w:t>
      </w:r>
      <w:r>
        <w:rPr>
          <w:b/>
          <w:color w:val="96432C"/>
        </w:rPr>
        <w:t>[[ ]]</w:t>
      </w:r>
      <w:r>
        <w:t xml:space="preserve">; ingyenes/próba/fizetős státusz: </w:t>
      </w:r>
      <w:r>
        <w:rPr>
          <w:b/>
          <w:color w:val="96432C"/>
        </w:rPr>
        <w:t>[[ ]]</w:t>
      </w:r>
      <w:r>
        <w:t xml:space="preserve">; ciklus és megújulás: </w:t>
      </w:r>
      <w:r>
        <w:rPr>
          <w:b/>
          <w:color w:val="96432C"/>
        </w:rPr>
        <w:t>[[ ]]</w:t>
      </w:r>
      <w:r>
        <w:t xml:space="preserve">; pontos díj és adó: </w:t>
      </w:r>
      <w:r>
        <w:rPr>
          <w:b/>
          <w:color w:val="96432C"/>
        </w:rPr>
        <w:t>[[ ]]</w:t>
      </w:r>
      <w:r>
        <w:t xml:space="preserve">; AI-kredit/tokencsomag és túllépési ár: </w:t>
      </w:r>
      <w:r>
        <w:rPr>
          <w:b/>
          <w:color w:val="96432C"/>
        </w:rPr>
        <w:t>[[ ]]</w:t>
      </w:r>
      <w:r>
        <w:t xml:space="preserve">; alap- és extra hozzáférések: </w:t>
      </w:r>
      <w:r>
        <w:rPr>
          <w:b/>
          <w:color w:val="96432C"/>
        </w:rPr>
        <w:t>[[ ]]</w:t>
      </w:r>
      <w:r>
        <w:t xml:space="preserve">; API-/modellpartner: </w:t>
      </w:r>
      <w:r>
        <w:rPr>
          <w:b/>
          <w:color w:val="96432C"/>
        </w:rPr>
        <w:t>[[ ]]</w:t>
      </w:r>
      <w:r>
        <w:t xml:space="preserve">; adatmegőrzési és exportfeltétel: </w:t>
      </w:r>
      <w:r>
        <w:rPr>
          <w:b/>
          <w:color w:val="96432C"/>
        </w:rPr>
        <w:t>[[ ]]</w:t>
      </w:r>
      <w:r>
        <w:t xml:space="preserve">; támogatás és SLA: </w:t>
      </w:r>
      <w:r>
        <w:rPr>
          <w:b/>
          <w:color w:val="96432C"/>
        </w:rPr>
        <w:t>[[ ]]</w:t>
      </w:r>
      <w:r>
        <w:t xml:space="preserve">; elfogadott központi ÁSZF és jelen ÁSZF verziója: </w:t>
      </w:r>
      <w:r>
        <w:rPr>
          <w:b/>
          <w:color w:val="96432C"/>
        </w:rPr>
        <w:t>[[ ]]</w:t>
      </w:r>
      <w:r>
        <w:t xml:space="preserve">; megismerés és elfogadás dátuma: </w:t>
      </w:r>
      <w:r>
        <w:rPr>
          <w:b/>
          <w:color w:val="96432C"/>
        </w:rPr>
        <w:t>[[ ]]</w:t>
      </w:r>
      <w:r>
        <w:t>.</w:t>
      </w:r>
    </w:p>
    <w:p>
      <w:pPr>
        <w:widowControl/>
      </w:pPr>
      <w:r>
        <w:rPr>
          <w:b/>
          <w:color w:val="132132"/>
        </w:rPr>
        <w:t>E melléklet adatmezőit a tényleges kereskedelmi felületnek és ügyfél-folyamatnak megfelelően kell megvalósítani. Kitöltetlen ár és megújulási mechanizmus alapján fizetési kötelezettség nem állapítható meg.</w:t>
      </w:r>
    </w:p>
    <w:sectPr w:rsidR="00FC693F" w:rsidRPr="0006063C" w:rsidSect="00034616">
      <w:headerReference w:type="default" r:id="rId9"/>
      <w:footerReference w:type="default" r:id="rId10"/>
      <w:pgSz w:w="12240" w:h="15840"/>
      <w:pgMar w:top="1106" w:right="1276" w:bottom="1049" w:left="1332"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olor w:val="576879"/>
        <w:sz w:val="14"/>
      </w:rPr>
      <w:t xml:space="preserve">WORKNOVA  •  3.0-T SZERZŐDÉSTERVEZET  |  2026.10.23.  |  </w:t>
    </w:r>
    <w:r>
      <w:rPr>
        <w:rFonts w:ascii="Noto Sans" w:hAnsi="Noto Sans"/>
        <w:color w:val="576879"/>
        <w:sz w:val="14"/>
      </w:rPr>
      <w:t xml:space="preserve">OLDAL </w:t>
    </w:r>
    <w:r>
      <w:rPr>
        <w:rFonts w:ascii="Noto Sans" w:hAnsi="Noto Sans"/>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8" w:color="D4E3E6"/>
      </w:pBdr>
    </w:pPr>
    <w:r>
      <w:rPr>
        <w:rFonts w:ascii="Noto Sans" w:hAnsi="Noto Sans"/>
        <w:b/>
        <w:color w:val="089792"/>
        <w:sz w:val="16"/>
      </w:rPr>
      <w:t>W O R K N O V A</w:t>
    </w:r>
    <w:r>
      <w:rPr>
        <w:sz w:val="15"/>
      </w:rPr>
      <w:t xml:space="preserve">   /   WASILY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93" w:lineRule="auto"/>
    </w:pPr>
    <w:rPr>
      <w:rFonts w:ascii="Noto Sans" w:hAnsi="Noto Sans"/>
      <w:color w:val="13213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20"/>
      <w:outlineLvl w:val="0"/>
    </w:pPr>
    <w:rPr>
      <w:rFonts w:asciiTheme="majorHAnsi" w:eastAsiaTheme="majorEastAsia" w:hAnsiTheme="majorHAnsi" w:cstheme="majorBidi" w:ascii="Noto Sans" w:hAnsi="Noto Sans"/>
      <w:b/>
      <w:bCs/>
      <w:color w:val="132132"/>
      <w:sz w:val="25"/>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Noto Sans" w:hAnsi="Noto Sans"/>
      <w:b/>
      <w:bCs/>
      <w:color w:val="13213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WASILY – ÁSZF 3.0-T</dc:title>
  <dc:subject>Worknova általános szerződési feltételek tervezet</dc:subject>
  <dc:creator>Worknova – szerződéstervezet</dc:creator>
  <cp:keywords/>
  <dc:description>generated by python-docx</dc:description>
  <cp:lastModifiedBy/>
  <cp:revision>1</cp:revision>
  <dcterms:created xsi:type="dcterms:W3CDTF">2013-12-23T23:15:00Z</dcterms:created>
  <dcterms:modified xsi:type="dcterms:W3CDTF">2013-12-23T23:15:00Z</dcterms:modified>
  <cp:category/>
</cp:coreProperties>
</file>